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DE3124" w:rsidRPr="005F44EB" w14:paraId="025DBED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4AF0A595" w14:textId="61FC309E" w:rsidR="00DE3124" w:rsidRDefault="005F44EB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93DA2EF" wp14:editId="1811126A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0D0D32AD" w14:textId="77777777" w:rsidR="00DE3124" w:rsidRPr="005F44EB" w:rsidRDefault="005F44EB">
            <w:pPr>
              <w:spacing w:after="0" w:line="288" w:lineRule="auto"/>
              <w:rPr>
                <w:lang w:val="ru-RU"/>
              </w:rPr>
            </w:pPr>
            <w:r w:rsidRPr="005F44EB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4E5DDFC1" w14:textId="77777777" w:rsidR="00DE3124" w:rsidRPr="005F44EB" w:rsidRDefault="005F44EB">
            <w:pPr>
              <w:rPr>
                <w:lang w:val="ru-RU"/>
              </w:rPr>
            </w:pPr>
            <w:r w:rsidRPr="005F44EB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5F44EB">
              <w:rPr>
                <w:sz w:val="20"/>
                <w:szCs w:val="20"/>
                <w:lang w:val="ru-RU"/>
              </w:rPr>
              <w:t>“, 28.01.2024  Национальный центр правовой информации Республики Беларусь</w:t>
            </w:r>
          </w:p>
        </w:tc>
      </w:tr>
    </w:tbl>
    <w:p w14:paraId="616EFBC5" w14:textId="77777777" w:rsidR="00DE3124" w:rsidRPr="005F44EB" w:rsidRDefault="00DE3124">
      <w:pPr>
        <w:rPr>
          <w:lang w:val="ru-RU"/>
        </w:rPr>
      </w:pPr>
    </w:p>
    <w:p w14:paraId="79BDA136" w14:textId="77777777" w:rsidR="00DE3124" w:rsidRPr="005F44EB" w:rsidRDefault="005F44EB">
      <w:pPr>
        <w:spacing w:after="60"/>
        <w:jc w:val="center"/>
        <w:rPr>
          <w:lang w:val="ru-RU"/>
        </w:rPr>
      </w:pPr>
      <w:r w:rsidRPr="005F44EB">
        <w:rPr>
          <w:lang w:val="ru-RU"/>
        </w:rPr>
        <w:t>ДОГОВОР О ПЕРЕДАЧЕ СВЕДЕНИЙ, СОСТАВЛЯЮЩИХ КОММЕРЧЕСКУЮ ТАЙНУ</w:t>
      </w:r>
    </w:p>
    <w:p w14:paraId="7ADE93FE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>
        <w:t> </w:t>
      </w:r>
    </w:p>
    <w:p w14:paraId="47E06F62" w14:textId="77777777" w:rsidR="00DE3124" w:rsidRPr="005F44EB" w:rsidRDefault="005F44EB">
      <w:pPr>
        <w:spacing w:after="60"/>
        <w:jc w:val="center"/>
        <w:rPr>
          <w:lang w:val="ru-RU"/>
        </w:rPr>
      </w:pPr>
      <w:r w:rsidRPr="005F44EB">
        <w:rPr>
          <w:b/>
          <w:bCs/>
          <w:lang w:val="ru-RU"/>
        </w:rPr>
        <w:t>ДОГОВОР №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____</w:t>
      </w:r>
      <w:r w:rsidRPr="005F44EB">
        <w:rPr>
          <w:lang w:val="ru-RU"/>
        </w:rPr>
        <w:br/>
      </w:r>
      <w:r w:rsidRPr="005F44EB">
        <w:rPr>
          <w:b/>
          <w:bCs/>
          <w:lang w:val="ru-RU"/>
        </w:rPr>
        <w:t>о передаче сведений, составляющих коммерческую тайну</w:t>
      </w:r>
    </w:p>
    <w:p w14:paraId="081DE30A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4"/>
        <w:gridCol w:w="6285"/>
      </w:tblGrid>
      <w:tr w:rsidR="00DE3124" w14:paraId="725963B9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1740" w:type="pct"/>
            <w:vMerge w:val="restart"/>
          </w:tcPr>
          <w:p w14:paraId="7D9BA157" w14:textId="77777777" w:rsidR="00DE3124" w:rsidRDefault="005F44EB">
            <w:pPr>
              <w:spacing w:after="60"/>
              <w:jc w:val="both"/>
            </w:pPr>
            <w:r>
              <w:t>г. _________________</w:t>
            </w:r>
          </w:p>
        </w:tc>
        <w:tc>
          <w:tcPr>
            <w:tcW w:w="3260" w:type="pct"/>
            <w:vMerge w:val="restart"/>
          </w:tcPr>
          <w:p w14:paraId="568974F9" w14:textId="77777777" w:rsidR="00DE3124" w:rsidRDefault="005F44EB">
            <w:pPr>
              <w:spacing w:after="60"/>
              <w:jc w:val="right"/>
            </w:pPr>
            <w:r>
              <w:t>«__» ________________ 20__ г.</w:t>
            </w:r>
          </w:p>
        </w:tc>
      </w:tr>
    </w:tbl>
    <w:p w14:paraId="6A53A64B" w14:textId="77777777" w:rsidR="00DE3124" w:rsidRDefault="005F44EB">
      <w:pPr>
        <w:spacing w:after="60"/>
        <w:ind w:firstLine="566"/>
        <w:jc w:val="both"/>
      </w:pPr>
      <w:r>
        <w:t> </w:t>
      </w:r>
    </w:p>
    <w:p w14:paraId="261F6F4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___________________________, юридическое лицо, созданное и действующее по законодательству Республики Беларусь, именуемое в дальнейшем Обладатель, в лице ______________________________, действующ__ на основании Устава, с одной стороны, и</w:t>
      </w:r>
      <w:r>
        <w:t> </w:t>
      </w:r>
      <w:r w:rsidRPr="005F44EB">
        <w:rPr>
          <w:lang w:val="ru-RU"/>
        </w:rPr>
        <w:t>__________________</w:t>
      </w:r>
      <w:r w:rsidRPr="005F44EB">
        <w:rPr>
          <w:lang w:val="ru-RU"/>
        </w:rPr>
        <w:t>____________, юридическое лицо, созданное и действующее по законодательству __________________, именуемое в дальнейшем Приобретатель, в лице ____________________________, действующ__ на основании Устава, с другой стороны, далее совместно именуемые Стороны,</w:t>
      </w:r>
      <w:r w:rsidRPr="005F44EB">
        <w:rPr>
          <w:lang w:val="ru-RU"/>
        </w:rPr>
        <w:t xml:space="preserve"> а каждая в отдельности в зависимости от контекста</w:t>
      </w:r>
      <w:r>
        <w:t> </w:t>
      </w:r>
      <w:r w:rsidRPr="005F44EB">
        <w:rPr>
          <w:lang w:val="ru-RU"/>
        </w:rPr>
        <w:t>– Сторона, договорились о нижеследующем:</w:t>
      </w:r>
    </w:p>
    <w:p w14:paraId="1EFCBD14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Определение терминов</w:t>
      </w:r>
    </w:p>
    <w:p w14:paraId="60EE6A4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1.1.</w:t>
      </w:r>
      <w:r>
        <w:t> </w:t>
      </w:r>
      <w:r w:rsidRPr="005F44EB">
        <w:rPr>
          <w:lang w:val="ru-RU"/>
        </w:rPr>
        <w:t>Договор</w:t>
      </w:r>
      <w:r>
        <w:t> </w:t>
      </w:r>
      <w:r w:rsidRPr="005F44EB">
        <w:rPr>
          <w:lang w:val="ru-RU"/>
        </w:rPr>
        <w:t>– настоящий договор о передаче сведений, составляющих коммерческую тайну, включая все приложения к нему и последующие изменения</w:t>
      </w:r>
      <w:r w:rsidRPr="005F44EB">
        <w:rPr>
          <w:lang w:val="ru-RU"/>
        </w:rPr>
        <w:t xml:space="preserve"> и дополнения, в случае их внесения (далее</w:t>
      </w:r>
      <w:r>
        <w:t> </w:t>
      </w:r>
      <w:r w:rsidRPr="005F44EB">
        <w:rPr>
          <w:lang w:val="ru-RU"/>
        </w:rPr>
        <w:t>– Договор).</w:t>
      </w:r>
    </w:p>
    <w:p w14:paraId="3570009B" w14:textId="77777777" w:rsidR="00DE3124" w:rsidRDefault="005F44EB">
      <w:pPr>
        <w:spacing w:after="60"/>
        <w:ind w:firstLine="566"/>
        <w:jc w:val="both"/>
      </w:pPr>
      <w:r w:rsidRPr="005F44EB">
        <w:rPr>
          <w:lang w:val="ru-RU"/>
        </w:rPr>
        <w:t>1.2.</w:t>
      </w:r>
      <w:r>
        <w:t> </w:t>
      </w:r>
      <w:r w:rsidRPr="005F44EB">
        <w:rPr>
          <w:lang w:val="ru-RU"/>
        </w:rPr>
        <w:t>Сведения</w:t>
      </w:r>
      <w:r>
        <w:t> </w:t>
      </w:r>
      <w:r w:rsidRPr="005F44EB">
        <w:rPr>
          <w:lang w:val="ru-RU"/>
        </w:rPr>
        <w:t xml:space="preserve">– сведения, составляющие коммерческую тайну, по перечню согласно приложению </w:t>
      </w:r>
      <w:r>
        <w:t>______ к Договору, являющемуся его неотъемлемой частью (далее – Перечень сведений), а именно совокупность сведе</w:t>
      </w:r>
      <w:r>
        <w:t>ний и информации, включающих знания, практический и коммерческий опыт по производству продукции (далее – Продукция), а также научно-техническую, технологическую, организационную и иную информацию, сведения и решения, относящиеся к Продукции и ее производст</w:t>
      </w:r>
      <w:r>
        <w:t>ву, в том числе как эти сведения, информация и решения определены и описаны в технической документации (далее – Сведения).</w:t>
      </w:r>
    </w:p>
    <w:p w14:paraId="24D419D8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1.3.</w:t>
      </w:r>
      <w:r>
        <w:t> </w:t>
      </w:r>
      <w:r w:rsidRPr="005F44EB">
        <w:rPr>
          <w:lang w:val="ru-RU"/>
        </w:rPr>
        <w:t>Продукция</w:t>
      </w:r>
      <w:r>
        <w:t> </w:t>
      </w:r>
      <w:r w:rsidRPr="005F44EB">
        <w:rPr>
          <w:lang w:val="ru-RU"/>
        </w:rPr>
        <w:t>– _________________________________________________________</w:t>
      </w:r>
    </w:p>
    <w:p w14:paraId="77F03DA5" w14:textId="77777777" w:rsidR="00DE3124" w:rsidRPr="005F44EB" w:rsidRDefault="005F44EB">
      <w:pPr>
        <w:spacing w:after="0"/>
        <w:ind w:firstLine="2976"/>
        <w:rPr>
          <w:lang w:val="ru-RU"/>
        </w:rPr>
      </w:pPr>
      <w:r w:rsidRPr="005F44EB">
        <w:rPr>
          <w:sz w:val="20"/>
          <w:szCs w:val="20"/>
          <w:lang w:val="ru-RU"/>
        </w:rPr>
        <w:t>(подробное описание продукции, информации о ее регистрации</w:t>
      </w:r>
      <w:r w:rsidRPr="005F44EB">
        <w:rPr>
          <w:sz w:val="20"/>
          <w:szCs w:val="20"/>
          <w:lang w:val="ru-RU"/>
        </w:rPr>
        <w:t>,</w:t>
      </w:r>
    </w:p>
    <w:p w14:paraId="5679DC66" w14:textId="77777777" w:rsidR="00DE3124" w:rsidRPr="005F44EB" w:rsidRDefault="005F44EB">
      <w:pPr>
        <w:spacing w:after="60"/>
        <w:jc w:val="both"/>
        <w:rPr>
          <w:lang w:val="ru-RU"/>
        </w:rPr>
      </w:pPr>
      <w:r w:rsidRPr="005F44EB">
        <w:rPr>
          <w:lang w:val="ru-RU"/>
        </w:rPr>
        <w:t>____________________________________________________________________________.</w:t>
      </w:r>
    </w:p>
    <w:p w14:paraId="1C091FD4" w14:textId="77777777" w:rsidR="00DE3124" w:rsidRPr="005F44EB" w:rsidRDefault="005F44EB">
      <w:pPr>
        <w:spacing w:after="0"/>
        <w:jc w:val="center"/>
        <w:rPr>
          <w:lang w:val="ru-RU"/>
        </w:rPr>
      </w:pPr>
      <w:r w:rsidRPr="005F44EB">
        <w:rPr>
          <w:sz w:val="20"/>
          <w:szCs w:val="20"/>
          <w:lang w:val="ru-RU"/>
        </w:rPr>
        <w:t>торгового наименования и иных индивидуальных данных)</w:t>
      </w:r>
    </w:p>
    <w:p w14:paraId="2516DBA3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1.4.</w:t>
      </w:r>
      <w:r>
        <w:t> </w:t>
      </w:r>
      <w:r w:rsidRPr="005F44EB">
        <w:rPr>
          <w:lang w:val="ru-RU"/>
        </w:rPr>
        <w:t>Техническая документация</w:t>
      </w:r>
      <w:r>
        <w:t> </w:t>
      </w:r>
      <w:r w:rsidRPr="005F44EB">
        <w:rPr>
          <w:lang w:val="ru-RU"/>
        </w:rPr>
        <w:t>– совокупность документации, поименованной в</w:t>
      </w:r>
      <w:r>
        <w:t> </w:t>
      </w:r>
      <w:r w:rsidRPr="005F44EB">
        <w:rPr>
          <w:lang w:val="ru-RU"/>
        </w:rPr>
        <w:t xml:space="preserve">Перечне сведений, необходимой и достаточной для </w:t>
      </w:r>
      <w:r w:rsidRPr="005F44EB">
        <w:rPr>
          <w:lang w:val="ru-RU"/>
        </w:rPr>
        <w:t>использования Сведений и</w:t>
      </w:r>
      <w:r>
        <w:t> </w:t>
      </w:r>
      <w:r w:rsidRPr="005F44EB">
        <w:rPr>
          <w:lang w:val="ru-RU"/>
        </w:rPr>
        <w:t>производства Продукции (далее</w:t>
      </w:r>
      <w:r>
        <w:t> </w:t>
      </w:r>
      <w:r w:rsidRPr="005F44EB">
        <w:rPr>
          <w:lang w:val="ru-RU"/>
        </w:rPr>
        <w:t>– Техническая документация).</w:t>
      </w:r>
    </w:p>
    <w:p w14:paraId="78F4CAF6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Предмет договора</w:t>
      </w:r>
    </w:p>
    <w:p w14:paraId="621B3BE5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2.1.</w:t>
      </w:r>
      <w:r>
        <w:t> </w:t>
      </w:r>
      <w:r w:rsidRPr="005F44EB">
        <w:rPr>
          <w:lang w:val="ru-RU"/>
        </w:rPr>
        <w:t>Факт передачи Сведений фиксируется Сторонами в актах приема-передачи Сведений. Приобретатель по своему усмотрению в целях, определенных в настоящем</w:t>
      </w:r>
      <w:r w:rsidRPr="005F44EB">
        <w:rPr>
          <w:lang w:val="ru-RU"/>
        </w:rPr>
        <w:t xml:space="preserve"> </w:t>
      </w:r>
      <w:r w:rsidRPr="005F44EB">
        <w:rPr>
          <w:lang w:val="ru-RU"/>
        </w:rPr>
        <w:lastRenderedPageBreak/>
        <w:t>Договоре, владеет, пользуется и распоряжается Сведениями, а также относящимися к Сведениям имущественными правами без каких-либо ограничений, в том числе без ограничений по срокам и территории.</w:t>
      </w:r>
    </w:p>
    <w:p w14:paraId="49D5BC33" w14:textId="77777777" w:rsidR="00DE3124" w:rsidRDefault="005F44EB">
      <w:pPr>
        <w:spacing w:after="60"/>
        <w:ind w:firstLine="566"/>
        <w:jc w:val="both"/>
      </w:pPr>
      <w:r>
        <w:t>2.2. После передачи Приобретателю Сведений Обладатель обязует</w:t>
      </w:r>
      <w:r>
        <w:t>ся не передавать Сведения третьим лицам, не производить Продукцию для третьих лиц или по заданию третьих лиц.</w:t>
      </w:r>
    </w:p>
    <w:p w14:paraId="27A1BB9B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2.3.</w:t>
      </w:r>
      <w:r>
        <w:t> </w:t>
      </w:r>
      <w:r w:rsidRPr="005F44EB">
        <w:rPr>
          <w:lang w:val="ru-RU"/>
        </w:rPr>
        <w:t>Принимая во внимание, что Сведения не являются общеизвестными и</w:t>
      </w:r>
      <w:r>
        <w:t> </w:t>
      </w:r>
      <w:r w:rsidRPr="005F44EB">
        <w:rPr>
          <w:lang w:val="ru-RU"/>
        </w:rPr>
        <w:t>легкодоступными третьим лицам, в тех кругах, которые обычно имеют дело с подо</w:t>
      </w:r>
      <w:r w:rsidRPr="005F44EB">
        <w:rPr>
          <w:lang w:val="ru-RU"/>
        </w:rPr>
        <w:t>бного рода сведениями, имеют коммерческую ценность в силу неизвестности третьим лицам, не являются объектом исключительных прав на результаты интеллектуальной деятельности и</w:t>
      </w:r>
      <w:r>
        <w:t> </w:t>
      </w:r>
      <w:r w:rsidRPr="005F44EB">
        <w:rPr>
          <w:lang w:val="ru-RU"/>
        </w:rPr>
        <w:t>не отнесены в установленном порядке к государственным секретам, Сведения охраняютс</w:t>
      </w:r>
      <w:r w:rsidRPr="005F44EB">
        <w:rPr>
          <w:lang w:val="ru-RU"/>
        </w:rPr>
        <w:t>я в режиме коммерческой тайны. Настоящим Стороны подтверждают и гарантируют, что ими принимаются все необходимые и разумные меры для обеспечения конфиденциальности Сведений. Указанные гарантия и подтверждение относительно конфиденциальности Сведений являют</w:t>
      </w:r>
      <w:r w:rsidRPr="005F44EB">
        <w:rPr>
          <w:lang w:val="ru-RU"/>
        </w:rPr>
        <w:t>ся существенными условиями настоящего Договора и действуют бессрочно.</w:t>
      </w:r>
    </w:p>
    <w:p w14:paraId="02A7034D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2.4.</w:t>
      </w:r>
      <w:r>
        <w:t> </w:t>
      </w:r>
      <w:r w:rsidRPr="005F44EB">
        <w:rPr>
          <w:lang w:val="ru-RU"/>
        </w:rPr>
        <w:t>Права Приобретателя и обязанности Обладателя по настоящему Договору не ограничены каким-либо сроком либо какой-либо территорией.</w:t>
      </w:r>
    </w:p>
    <w:p w14:paraId="5C365A37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Техническая документация</w:t>
      </w:r>
    </w:p>
    <w:p w14:paraId="2C2FE77F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3.1.</w:t>
      </w:r>
      <w:r>
        <w:t> </w:t>
      </w:r>
      <w:r w:rsidRPr="005F44EB">
        <w:rPr>
          <w:lang w:val="ru-RU"/>
        </w:rPr>
        <w:t>Техническая документация, указанная в Перечне Сведений, передается в полном объеме Обладателем Приобретателю в день подписания настоящего Договора на основании акта приема-передачи Сведений. В случае недостаточности переданных Сведений для целей ее ис</w:t>
      </w:r>
      <w:r w:rsidRPr="005F44EB">
        <w:rPr>
          <w:lang w:val="ru-RU"/>
        </w:rPr>
        <w:t>пользования Приобретателем, определенных Договором, между Сторонам составляется дополнительное соглашение о передаче необходимых дополнительных сведений.</w:t>
      </w:r>
    </w:p>
    <w:p w14:paraId="44D0B2C0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3.2.</w:t>
      </w:r>
      <w:r>
        <w:t> </w:t>
      </w:r>
      <w:r w:rsidRPr="005F44EB">
        <w:rPr>
          <w:lang w:val="ru-RU"/>
        </w:rPr>
        <w:t>Обладатель подтверждает и гарантирует, что вся Техническая документация соответствует всем технич</w:t>
      </w:r>
      <w:r w:rsidRPr="005F44EB">
        <w:rPr>
          <w:lang w:val="ru-RU"/>
        </w:rPr>
        <w:t>еским нормам и стандартам, принятым на территории Республики Беларусь, а также что Техническая документация содержит расшифровку условных обозначений, на которые делаются ссылки в Технической документации.</w:t>
      </w:r>
    </w:p>
    <w:p w14:paraId="156651C2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3.3.</w:t>
      </w:r>
      <w:r>
        <w:t> </w:t>
      </w:r>
      <w:r w:rsidRPr="005F44EB">
        <w:rPr>
          <w:lang w:val="ru-RU"/>
        </w:rPr>
        <w:t>Техническая документация по своему объему, ко</w:t>
      </w:r>
      <w:r w:rsidRPr="005F44EB">
        <w:rPr>
          <w:lang w:val="ru-RU"/>
        </w:rPr>
        <w:t>мплекту, составу, содержанию и</w:t>
      </w:r>
      <w:r>
        <w:t> </w:t>
      </w:r>
      <w:r w:rsidRPr="005F44EB">
        <w:rPr>
          <w:lang w:val="ru-RU"/>
        </w:rPr>
        <w:t>качеству должна быть достаточной для целей использования Приобретателем Сведений и</w:t>
      </w:r>
      <w:r>
        <w:t> </w:t>
      </w:r>
      <w:r w:rsidRPr="005F44EB">
        <w:rPr>
          <w:lang w:val="ru-RU"/>
        </w:rPr>
        <w:t>производства Продукции по настоящему Договору. Если в последующем после заключения настоящего Договора будет выявлена неполнота или неправильн</w:t>
      </w:r>
      <w:r w:rsidRPr="005F44EB">
        <w:rPr>
          <w:lang w:val="ru-RU"/>
        </w:rPr>
        <w:t>ость Технической документации, сведений, содержащихся в Технической документации, либо самих Сведений, необходимых для целей использования, указанных в настоящем Договоре, Приобретатель обязуется незамедлительно проинформировать об этом Обладателя, а</w:t>
      </w:r>
      <w:r>
        <w:t> </w:t>
      </w:r>
      <w:r w:rsidRPr="005F44EB">
        <w:rPr>
          <w:lang w:val="ru-RU"/>
        </w:rPr>
        <w:t>Облад</w:t>
      </w:r>
      <w:r w:rsidRPr="005F44EB">
        <w:rPr>
          <w:lang w:val="ru-RU"/>
        </w:rPr>
        <w:t>атель обязуется в течение 5 (пяти) рабочих дней с момента получения требования Приобретателя передать Приобретателю соответствующую Техническую документацию и</w:t>
      </w:r>
      <w:r>
        <w:t> </w:t>
      </w:r>
      <w:r w:rsidRPr="005F44EB">
        <w:rPr>
          <w:lang w:val="ru-RU"/>
        </w:rPr>
        <w:t xml:space="preserve">(или) соответствующие сведения и документы либо в указанный срок исправить недостатки и передать </w:t>
      </w:r>
      <w:r w:rsidRPr="005F44EB">
        <w:rPr>
          <w:lang w:val="ru-RU"/>
        </w:rPr>
        <w:t>откорректированную документацию и Сведения Приобретателю на основании дополнительного соглашения к Договору и по акту приемки-передачи сведений.</w:t>
      </w:r>
    </w:p>
    <w:p w14:paraId="115B496F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3.4.</w:t>
      </w:r>
      <w:r>
        <w:t> </w:t>
      </w:r>
      <w:r w:rsidRPr="005F44EB">
        <w:rPr>
          <w:lang w:val="ru-RU"/>
        </w:rPr>
        <w:t>Настоящим Обладатель подтверждает и гарантирует, что им были приняты все необходимые и разумные меры для о</w:t>
      </w:r>
      <w:r w:rsidRPr="005F44EB">
        <w:rPr>
          <w:lang w:val="ru-RU"/>
        </w:rPr>
        <w:t xml:space="preserve">беспечения конфиденциальности Технической документации и что Техническая документация до заключения настоящего Договора не была раскрыта третьим лицам, за исключением части Сведений, которые были раскрыты для </w:t>
      </w:r>
      <w:r w:rsidRPr="005F44EB">
        <w:rPr>
          <w:lang w:val="ru-RU"/>
        </w:rPr>
        <w:lastRenderedPageBreak/>
        <w:t>целей регистрации Продукции. Указанные гарантия</w:t>
      </w:r>
      <w:r w:rsidRPr="005F44EB">
        <w:rPr>
          <w:lang w:val="ru-RU"/>
        </w:rPr>
        <w:t xml:space="preserve"> и подтверждение Обладателя относительно конфиденциальности Технической документации являются существенными условиями настоящего Договора и действуют бессрочно.</w:t>
      </w:r>
    </w:p>
    <w:p w14:paraId="761CE583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Обязательства, гарантии и подтверждения сторон</w:t>
      </w:r>
    </w:p>
    <w:p w14:paraId="4D9DC9A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4.1.</w:t>
      </w:r>
      <w:r>
        <w:t> </w:t>
      </w:r>
      <w:r w:rsidRPr="005F44EB">
        <w:rPr>
          <w:lang w:val="ru-RU"/>
        </w:rPr>
        <w:t>Обладатель гарантирует и подтверждает, ч</w:t>
      </w:r>
      <w:r w:rsidRPr="005F44EB">
        <w:rPr>
          <w:lang w:val="ru-RU"/>
        </w:rPr>
        <w:t>то на момент подписания настоящего Договора Обладатель является единственным законным владельцем Сведений.</w:t>
      </w:r>
    </w:p>
    <w:p w14:paraId="394DD745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4.2.</w:t>
      </w:r>
      <w:r>
        <w:t> </w:t>
      </w:r>
      <w:r w:rsidRPr="005F44EB">
        <w:rPr>
          <w:lang w:val="ru-RU"/>
        </w:rPr>
        <w:t>Приобретатель вправе использовать либо распоряжаться Сведениями только в порядке и на условиях, предусмотренных настоящим Договором.</w:t>
      </w:r>
    </w:p>
    <w:p w14:paraId="7A485678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4.3.</w:t>
      </w:r>
      <w:r>
        <w:t> </w:t>
      </w:r>
      <w:r w:rsidRPr="005F44EB">
        <w:rPr>
          <w:lang w:val="ru-RU"/>
        </w:rPr>
        <w:t>Облада</w:t>
      </w:r>
      <w:r w:rsidRPr="005F44EB">
        <w:rPr>
          <w:lang w:val="ru-RU"/>
        </w:rPr>
        <w:t>тель подтверждает, что Сведения не обременены правами каких-либо третьих лиц и Обладателю неизвестно о правах третьих лиц, которые могли бы быть нарушены заключением настоящего Договора.</w:t>
      </w:r>
    </w:p>
    <w:p w14:paraId="442A22B8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4.4.</w:t>
      </w:r>
      <w:r>
        <w:t> </w:t>
      </w:r>
      <w:r w:rsidRPr="005F44EB">
        <w:rPr>
          <w:lang w:val="ru-RU"/>
        </w:rPr>
        <w:t>Стороны обязуются соблюдать режим коммерческой тайны и сохранять</w:t>
      </w:r>
      <w:r w:rsidRPr="005F44EB">
        <w:rPr>
          <w:lang w:val="ru-RU"/>
        </w:rPr>
        <w:t xml:space="preserve"> конфиденциальность в отношении Сведений, а также принимать необходимые и разумные для этого меры бессрочно и без ограничений по территории.</w:t>
      </w:r>
    </w:p>
    <w:p w14:paraId="1F82C0B1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4.5.</w:t>
      </w:r>
      <w:r>
        <w:t> </w:t>
      </w:r>
      <w:r w:rsidRPr="005F44EB">
        <w:rPr>
          <w:lang w:val="ru-RU"/>
        </w:rPr>
        <w:t>Стороны обязуются сохранять конфиденциальность Технической документации и принимать необходимые и разумные для</w:t>
      </w:r>
      <w:r w:rsidRPr="005F44EB">
        <w:rPr>
          <w:lang w:val="ru-RU"/>
        </w:rPr>
        <w:t xml:space="preserve"> этого меры бессрочно и без ограничений по территории.</w:t>
      </w:r>
    </w:p>
    <w:p w14:paraId="7627039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4.6.</w:t>
      </w:r>
      <w:r>
        <w:t> </w:t>
      </w:r>
      <w:r w:rsidRPr="005F44EB">
        <w:rPr>
          <w:lang w:val="ru-RU"/>
        </w:rPr>
        <w:t>Обладатель обязуется оказать необходимое и разумное содействие Приобретателю в уяснении содержания Сведений путем дачи необходимых консультаций без дополнительной оплаты либо за таковую, что указы</w:t>
      </w:r>
      <w:r w:rsidRPr="005F44EB">
        <w:rPr>
          <w:lang w:val="ru-RU"/>
        </w:rPr>
        <w:t>вается в отдельном соглашении Сторон.</w:t>
      </w:r>
    </w:p>
    <w:p w14:paraId="51C1A806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4.7.</w:t>
      </w:r>
      <w:r>
        <w:t> </w:t>
      </w:r>
      <w:r w:rsidRPr="005F44EB">
        <w:rPr>
          <w:lang w:val="ru-RU"/>
        </w:rPr>
        <w:t>Стороны обязуются надлежащим образом и в полном объеме исполнять иные обязанности и соблюдать иные подтверждения и гарантии, предусмотренные настоящим Договором и действующим законодательством.</w:t>
      </w:r>
    </w:p>
    <w:p w14:paraId="0D57C4E0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4.8.</w:t>
      </w:r>
      <w:r>
        <w:t> </w:t>
      </w:r>
      <w:r w:rsidRPr="005F44EB">
        <w:rPr>
          <w:lang w:val="ru-RU"/>
        </w:rPr>
        <w:t xml:space="preserve">Приобретатель </w:t>
      </w:r>
      <w:r w:rsidRPr="005F44EB">
        <w:rPr>
          <w:lang w:val="ru-RU"/>
        </w:rPr>
        <w:t>уплачивает Обладателю за право использования Сведений, составляющих коммерческую тайну, сумму в размере _____________________________.</w:t>
      </w:r>
    </w:p>
    <w:p w14:paraId="7B287EEB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Обеспечение конфиденциальности</w:t>
      </w:r>
    </w:p>
    <w:p w14:paraId="5B99EA64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5.1.</w:t>
      </w:r>
      <w:r>
        <w:t> </w:t>
      </w:r>
      <w:r w:rsidRPr="005F44EB">
        <w:rPr>
          <w:lang w:val="ru-RU"/>
        </w:rPr>
        <w:t>Стороны обязуются сохранять режим коммерческой тайны, конфиденциальность Сведений,</w:t>
      </w:r>
      <w:r w:rsidRPr="005F44EB">
        <w:rPr>
          <w:lang w:val="ru-RU"/>
        </w:rPr>
        <w:t xml:space="preserve"> а также конфиденциальность Технической документации (далее</w:t>
      </w:r>
      <w:r>
        <w:t> </w:t>
      </w:r>
      <w:r w:rsidRPr="005F44EB">
        <w:rPr>
          <w:lang w:val="ru-RU"/>
        </w:rPr>
        <w:t>– в зависимости от контекста конфиденциальность или конфиденциальная информация), а также обязуется не осуществлять действий, которые могут прямо либо косвенно в любой форме и любым способом приве</w:t>
      </w:r>
      <w:r w:rsidRPr="005F44EB">
        <w:rPr>
          <w:lang w:val="ru-RU"/>
        </w:rPr>
        <w:t>сти к разглашению конфиденциальной информации либо ее доведению до сведения третьих лиц.</w:t>
      </w:r>
    </w:p>
    <w:p w14:paraId="3AC1E342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5.2.</w:t>
      </w:r>
      <w:r>
        <w:t> </w:t>
      </w:r>
      <w:r w:rsidRPr="005F44EB">
        <w:rPr>
          <w:lang w:val="ru-RU"/>
        </w:rPr>
        <w:t>Стороны обязуются принимать все необходимые и разумные меры для того, чтобы предотвратить полное или частичное разглашение конфиденциальной информации.</w:t>
      </w:r>
    </w:p>
    <w:p w14:paraId="3B38282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5.3.</w:t>
      </w:r>
      <w:r>
        <w:t> </w:t>
      </w:r>
      <w:r w:rsidRPr="005F44EB">
        <w:rPr>
          <w:lang w:val="ru-RU"/>
        </w:rPr>
        <w:t>Облад</w:t>
      </w:r>
      <w:r w:rsidRPr="005F44EB">
        <w:rPr>
          <w:lang w:val="ru-RU"/>
        </w:rPr>
        <w:t>атель гарантирует и подтверждает, что на момент заключения настоящего Договора с конфиденциальной информацией были ознакомлены только те лица, которые были непосредственно связаны с разработкой Сведений, и что указанные лица обязались не разглашать конфиде</w:t>
      </w:r>
      <w:r w:rsidRPr="005F44EB">
        <w:rPr>
          <w:lang w:val="ru-RU"/>
        </w:rPr>
        <w:t>нциальную информацию.</w:t>
      </w:r>
    </w:p>
    <w:p w14:paraId="74693D73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5.4.</w:t>
      </w:r>
      <w:r>
        <w:t> </w:t>
      </w:r>
      <w:r w:rsidRPr="005F44EB">
        <w:rPr>
          <w:lang w:val="ru-RU"/>
        </w:rPr>
        <w:t>Обладатель соглашается, что также несет ответственность за нарушение конфиденциальности физическими и юридическими лицами, правовые отношения с</w:t>
      </w:r>
      <w:r>
        <w:t> </w:t>
      </w:r>
      <w:r w:rsidRPr="005F44EB">
        <w:rPr>
          <w:lang w:val="ru-RU"/>
        </w:rPr>
        <w:t>которыми уже прекращены.</w:t>
      </w:r>
    </w:p>
    <w:p w14:paraId="04676A74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lastRenderedPageBreak/>
        <w:t>5.5.</w:t>
      </w:r>
      <w:r>
        <w:t> </w:t>
      </w:r>
      <w:r w:rsidRPr="005F44EB">
        <w:rPr>
          <w:lang w:val="ru-RU"/>
        </w:rPr>
        <w:t>Приобретатель обязуется установить режим коммерческой тайны в отношении переданных по Договору Сведений, к которым он получил доступ, в пределах, определенных настоящим Договором и законодательством по месту своей основной деятельности.</w:t>
      </w:r>
    </w:p>
    <w:p w14:paraId="0E6B996B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5.6.</w:t>
      </w:r>
      <w:r>
        <w:t> </w:t>
      </w:r>
      <w:r w:rsidRPr="005F44EB">
        <w:rPr>
          <w:lang w:val="ru-RU"/>
        </w:rPr>
        <w:t>Стороны д</w:t>
      </w:r>
      <w:r w:rsidRPr="005F44EB">
        <w:rPr>
          <w:lang w:val="ru-RU"/>
        </w:rPr>
        <w:t>оговорились, что в состав Сведений, подлежащих охране в режиме коммерческой тайны, входят все Сведения, переданные по Перечню сведений согласно настоящему Договору, а также по дополнительным соглашениям и приложениям к ним, которые могут быть заключены Сто</w:t>
      </w:r>
      <w:r w:rsidRPr="005F44EB">
        <w:rPr>
          <w:lang w:val="ru-RU"/>
        </w:rPr>
        <w:t>ронами в последующем.</w:t>
      </w:r>
    </w:p>
    <w:p w14:paraId="50E956F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5.7.</w:t>
      </w:r>
      <w:r>
        <w:t> </w:t>
      </w:r>
      <w:r w:rsidRPr="005F44EB">
        <w:rPr>
          <w:lang w:val="ru-RU"/>
        </w:rPr>
        <w:t>Приобретатель обязан незамедлительно сообщить Обладателю о допущенных им либо ставших известными ему факте незаконного ознакомления со Сведениями, составляющими коммерческую тайну, факте незаконного использования этих Сведений, ф</w:t>
      </w:r>
      <w:r w:rsidRPr="005F44EB">
        <w:rPr>
          <w:lang w:val="ru-RU"/>
        </w:rPr>
        <w:t>акте разглашения коммерческой тайны или угрозы разглашения коммерческой тайны третьими лицами, а также о требованиях доступа к коммерческой тайне со стороны государственных органов и иных лиц.</w:t>
      </w:r>
    </w:p>
    <w:p w14:paraId="22BA2B4E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5.8.</w:t>
      </w:r>
      <w:r>
        <w:t> </w:t>
      </w:r>
      <w:r w:rsidRPr="005F44EB">
        <w:rPr>
          <w:lang w:val="ru-RU"/>
        </w:rPr>
        <w:t>Обязательства Сторон по сохранению конфиденциальности дейс</w:t>
      </w:r>
      <w:r w:rsidRPr="005F44EB">
        <w:rPr>
          <w:lang w:val="ru-RU"/>
        </w:rPr>
        <w:t>твуют бессрочно и без ограничения по территории.</w:t>
      </w:r>
    </w:p>
    <w:p w14:paraId="5B1C268D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Защита передаваемых сведений</w:t>
      </w:r>
    </w:p>
    <w:p w14:paraId="61FFD98B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6.1.</w:t>
      </w:r>
      <w:r>
        <w:t> </w:t>
      </w:r>
      <w:r w:rsidRPr="005F44EB">
        <w:rPr>
          <w:lang w:val="ru-RU"/>
        </w:rPr>
        <w:t>Если после заключения Договора какое-либо третье лицо подаст патентную заявку или ему будет выдан на территории Республики Беларусь патент, который может лишить Приобрета</w:t>
      </w:r>
      <w:r w:rsidRPr="005F44EB">
        <w:rPr>
          <w:lang w:val="ru-RU"/>
        </w:rPr>
        <w:t>теля права полностью или частично использовать Сведения, то Стороны незамедлительно, после того как им станет об этом известно, предпримут совместные действия по защите Сведений и в случае необходимости по оспариванию действительности заявок, патентов трет</w:t>
      </w:r>
      <w:r w:rsidRPr="005F44EB">
        <w:rPr>
          <w:lang w:val="ru-RU"/>
        </w:rPr>
        <w:t>ьих лиц, а также осуществят другие мероприятия, связанные с</w:t>
      </w:r>
      <w:r>
        <w:t> </w:t>
      </w:r>
      <w:r w:rsidRPr="005F44EB">
        <w:rPr>
          <w:lang w:val="ru-RU"/>
        </w:rPr>
        <w:t>выполнением Договора.</w:t>
      </w:r>
    </w:p>
    <w:p w14:paraId="2F49A009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6.2.</w:t>
      </w:r>
      <w:r>
        <w:t> </w:t>
      </w:r>
      <w:r w:rsidRPr="005F44EB">
        <w:rPr>
          <w:lang w:val="ru-RU"/>
        </w:rPr>
        <w:t>В случае если к Приобретателю будут предъявлены претензии или иски по поводу нарушения прав третьих лиц в связи с использованием Сведений по настоящему Договору, Приобре</w:t>
      </w:r>
      <w:r w:rsidRPr="005F44EB">
        <w:rPr>
          <w:lang w:val="ru-RU"/>
        </w:rPr>
        <w:t>татель известит об этом Обладателя. Обладатель по согласованию с</w:t>
      </w:r>
      <w:r>
        <w:t> </w:t>
      </w:r>
      <w:r w:rsidRPr="005F44EB">
        <w:rPr>
          <w:lang w:val="ru-RU"/>
        </w:rPr>
        <w:t>Приобретателем обязуется урегулировать такие претензии, обеспечить судебную защиту или предпринять иные действия, исключающие возникновение убытков для Приобретателя. Понесенные Обладателем р</w:t>
      </w:r>
      <w:r w:rsidRPr="005F44EB">
        <w:rPr>
          <w:lang w:val="ru-RU"/>
        </w:rPr>
        <w:t>асходы и убытки в результате урегулирования указанных претензий или окончания судебных процессов будут распределены между Сторонами согласно дополнительной договоренности.</w:t>
      </w:r>
    </w:p>
    <w:p w14:paraId="368D3A62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7.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Ответственность сторон</w:t>
      </w:r>
    </w:p>
    <w:p w14:paraId="63059585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7.1.</w:t>
      </w:r>
      <w:r>
        <w:t> </w:t>
      </w:r>
      <w:r w:rsidRPr="005F44EB">
        <w:rPr>
          <w:lang w:val="ru-RU"/>
        </w:rPr>
        <w:t>Сторона, не исполнившая или ненадлежащим образом испо</w:t>
      </w:r>
      <w:r w:rsidRPr="005F44EB">
        <w:rPr>
          <w:lang w:val="ru-RU"/>
        </w:rPr>
        <w:t>лнившая обязательства по настоящему Договору, в том числе нарушившая, не исполнившая либо ненадлежащим образом исполнившая гарантии и подтверждения по настоящему Договору, обязана возместить другой Стороне причиненные таким неисполнением убытки в полном об</w:t>
      </w:r>
      <w:r w:rsidRPr="005F44EB">
        <w:rPr>
          <w:lang w:val="ru-RU"/>
        </w:rPr>
        <w:t>ъеме в соответствии с действующим законодательством.</w:t>
      </w:r>
    </w:p>
    <w:p w14:paraId="6845F9F0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7.2.</w:t>
      </w:r>
      <w:r>
        <w:t> </w:t>
      </w:r>
      <w:r w:rsidRPr="005F44EB">
        <w:rPr>
          <w:lang w:val="ru-RU"/>
        </w:rPr>
        <w:t>В случае неисполнения либо ненадлежащего исполнения Обладателем обязанностей, предусмотренных пунктами 2.2–2.4, 3.4, 4.3 настоящего Договора, Обладатель обязуется уплатить Приобретателю штраф в размере _____________________ за каждый факт неисполнения</w:t>
      </w:r>
      <w:r w:rsidRPr="005F44EB">
        <w:rPr>
          <w:lang w:val="ru-RU"/>
        </w:rPr>
        <w:t xml:space="preserve"> либо ненадлежащего исполнения обязательств.</w:t>
      </w:r>
    </w:p>
    <w:p w14:paraId="5F92583C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lastRenderedPageBreak/>
        <w:t>7.3.</w:t>
      </w:r>
      <w:r>
        <w:t> </w:t>
      </w:r>
      <w:r w:rsidRPr="005F44EB">
        <w:rPr>
          <w:lang w:val="ru-RU"/>
        </w:rPr>
        <w:t>В случае неисполнения либо ненадлежащего исполнения Сторонами обязанностей по настоящему Договору, касающихся режима коммерческой тайны и</w:t>
      </w:r>
      <w:r>
        <w:t> </w:t>
      </w:r>
      <w:r w:rsidRPr="005F44EB">
        <w:rPr>
          <w:lang w:val="ru-RU"/>
        </w:rPr>
        <w:t xml:space="preserve">конфиденциальности Сведений, а также конфиденциальности Технической </w:t>
      </w:r>
      <w:r w:rsidRPr="005F44EB">
        <w:rPr>
          <w:lang w:val="ru-RU"/>
        </w:rPr>
        <w:t>документации, виновная Сторона обязуется уплатить штраф в размере __________________ за каждый факт неисполнения либо ненадлежащего исполнения обязательств. Штраф уплачивается Стороной, признанной в установленном порядке виновной в разглашении Сведений, со</w:t>
      </w:r>
      <w:r w:rsidRPr="005F44EB">
        <w:rPr>
          <w:lang w:val="ru-RU"/>
        </w:rPr>
        <w:t>ставляющих коммерческую тайну по данному Договору.</w:t>
      </w:r>
    </w:p>
    <w:p w14:paraId="0C4FCCCB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7.4.</w:t>
      </w:r>
      <w:r>
        <w:t> </w:t>
      </w:r>
      <w:r w:rsidRPr="005F44EB">
        <w:rPr>
          <w:lang w:val="ru-RU"/>
        </w:rPr>
        <w:t>В случае неисполнения либо ненадлежащего исполнения Приобретателем пункта</w:t>
      </w:r>
      <w:r>
        <w:t> </w:t>
      </w:r>
      <w:r w:rsidRPr="005F44EB">
        <w:rPr>
          <w:lang w:val="ru-RU"/>
        </w:rPr>
        <w:t>5.5 настоящего Договора Приобретатель уплачивает Обладателю штраф в размере _________________________.</w:t>
      </w:r>
    </w:p>
    <w:p w14:paraId="6C7036CC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7.5.</w:t>
      </w:r>
      <w:r>
        <w:t> </w:t>
      </w:r>
      <w:r w:rsidRPr="005F44EB">
        <w:rPr>
          <w:lang w:val="ru-RU"/>
        </w:rPr>
        <w:t>Стороны соглашаютс</w:t>
      </w:r>
      <w:r w:rsidRPr="005F44EB">
        <w:rPr>
          <w:lang w:val="ru-RU"/>
        </w:rPr>
        <w:t>я, что предусмотренные разделом 7 Договора неустойки с</w:t>
      </w:r>
      <w:r>
        <w:t> </w:t>
      </w:r>
      <w:r w:rsidRPr="005F44EB">
        <w:rPr>
          <w:lang w:val="ru-RU"/>
        </w:rPr>
        <w:t>учетом условий настоящего Договора имеют разумный размер и соразмерны последствиям неисполнения (ненадлежащего исполнения) указанных обязательств. Стороны понимают, что фактические основания для уменьш</w:t>
      </w:r>
      <w:r w:rsidRPr="005F44EB">
        <w:rPr>
          <w:lang w:val="ru-RU"/>
        </w:rPr>
        <w:t>ения размера неустоек отсутствуют.</w:t>
      </w:r>
    </w:p>
    <w:p w14:paraId="27F33303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7.6.</w:t>
      </w:r>
      <w:r>
        <w:t> </w:t>
      </w:r>
      <w:r w:rsidRPr="005F44EB">
        <w:rPr>
          <w:lang w:val="ru-RU"/>
        </w:rPr>
        <w:t>Стороны соглашаются, что в случае незаконного ознакомления со Сведениями, составляющими коммерческую тайну, или незаконного использования этих Сведений, а</w:t>
      </w:r>
      <w:r>
        <w:t> </w:t>
      </w:r>
      <w:r w:rsidRPr="005F44EB">
        <w:rPr>
          <w:lang w:val="ru-RU"/>
        </w:rPr>
        <w:t>также разглашения коммерческой тайны они обязаны прекратить д</w:t>
      </w:r>
      <w:r w:rsidRPr="005F44EB">
        <w:rPr>
          <w:lang w:val="ru-RU"/>
        </w:rPr>
        <w:t>ействия, связанные с</w:t>
      </w:r>
      <w:r>
        <w:t> </w:t>
      </w:r>
      <w:r w:rsidRPr="005F44EB">
        <w:rPr>
          <w:lang w:val="ru-RU"/>
        </w:rPr>
        <w:t>незаконным ознакомлением со Сведениями, составляющими коммерческую тайну, или с</w:t>
      </w:r>
      <w:r>
        <w:t> </w:t>
      </w:r>
      <w:r w:rsidRPr="005F44EB">
        <w:rPr>
          <w:lang w:val="ru-RU"/>
        </w:rPr>
        <w:t>незаконным использованием этих Сведений, а также с разглашением коммерческой тайны.</w:t>
      </w:r>
    </w:p>
    <w:p w14:paraId="37F8BA28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8.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Применимое право. Порядок разрешения споров</w:t>
      </w:r>
    </w:p>
    <w:p w14:paraId="5C0A4F9F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8.1.</w:t>
      </w:r>
      <w:r>
        <w:t> </w:t>
      </w:r>
      <w:r w:rsidRPr="005F44EB">
        <w:rPr>
          <w:lang w:val="ru-RU"/>
        </w:rPr>
        <w:t>Все споры, разногла</w:t>
      </w:r>
      <w:r w:rsidRPr="005F44EB">
        <w:rPr>
          <w:lang w:val="ru-RU"/>
        </w:rPr>
        <w:t>сия или требования, которые могут возникнуть из настоящего Договора или в связи с ним, в том числе связанные с его изменением, расторжением, исполнением, недействительностью или толкованием, Стороны будут стремиться урегулировать путем проведения переговор</w:t>
      </w:r>
      <w:r w:rsidRPr="005F44EB">
        <w:rPr>
          <w:lang w:val="ru-RU"/>
        </w:rPr>
        <w:t>ов, признавая взаимные интересы. Досудебный претензионный порядок урегулирования споров, разногласий и требований между Сторонами признается обязательным. Письменная претензия подлежит рассмотрению в течение 10 (десяти) рабочих дней со дня получения.</w:t>
      </w:r>
    </w:p>
    <w:p w14:paraId="129D5E5B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8.2.</w:t>
      </w:r>
      <w:r>
        <w:t> </w:t>
      </w:r>
      <w:r w:rsidRPr="005F44EB">
        <w:rPr>
          <w:lang w:val="ru-RU"/>
        </w:rPr>
        <w:t>В случае если Сторона, направившая претензию по последнему известному ей адресу другой Стороны, не получит ответа на нее в течение 10 (десяти) рабочих дней, то любые споры, разногласия или требования, указанные в пункте 8.1 настоящего Договора, подлежат ра</w:t>
      </w:r>
      <w:r w:rsidRPr="005F44EB">
        <w:rPr>
          <w:lang w:val="ru-RU"/>
        </w:rPr>
        <w:t>ссмотрению в Международном арбитражном суде при БелТПП в соответствии с его регламентом. Арбитражный суд должен состоять из трех арбитров. Место арбитража</w:t>
      </w:r>
      <w:r>
        <w:t> </w:t>
      </w:r>
      <w:r w:rsidRPr="005F44EB">
        <w:rPr>
          <w:lang w:val="ru-RU"/>
        </w:rPr>
        <w:t>– город Минск, Республика Беларусь. Язык, на котором будет осуществляться арбитражный процесс</w:t>
      </w:r>
      <w:r>
        <w:t> </w:t>
      </w:r>
      <w:r w:rsidRPr="005F44EB">
        <w:rPr>
          <w:lang w:val="ru-RU"/>
        </w:rPr>
        <w:t>– русск</w:t>
      </w:r>
      <w:r w:rsidRPr="005F44EB">
        <w:rPr>
          <w:lang w:val="ru-RU"/>
        </w:rPr>
        <w:t>ий. К разрешению спора применимо право Республики Беларусь.</w:t>
      </w:r>
    </w:p>
    <w:p w14:paraId="3A39897F" w14:textId="77777777" w:rsidR="00DE3124" w:rsidRPr="005F44EB" w:rsidRDefault="005F44EB">
      <w:pPr>
        <w:spacing w:before="240" w:after="240"/>
        <w:jc w:val="center"/>
        <w:rPr>
          <w:lang w:val="ru-RU"/>
        </w:rPr>
      </w:pPr>
      <w:r w:rsidRPr="005F44EB">
        <w:rPr>
          <w:b/>
          <w:bCs/>
          <w:lang w:val="ru-RU"/>
        </w:rPr>
        <w:t>9.</w:t>
      </w:r>
      <w:r>
        <w:rPr>
          <w:b/>
          <w:bCs/>
        </w:rPr>
        <w:t> </w:t>
      </w:r>
      <w:r w:rsidRPr="005F44EB">
        <w:rPr>
          <w:b/>
          <w:bCs/>
          <w:lang w:val="ru-RU"/>
        </w:rPr>
        <w:t>Прочие положения</w:t>
      </w:r>
    </w:p>
    <w:p w14:paraId="4C5CAF11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9.1.</w:t>
      </w:r>
      <w:r>
        <w:t> </w:t>
      </w:r>
      <w:r w:rsidRPr="005F44EB">
        <w:rPr>
          <w:lang w:val="ru-RU"/>
        </w:rPr>
        <w:t>Любая информация, касающаяся условий настоящего Договора, считается конфиденциальной и не подлежит разглашению никаким третьим лицам в том числе в случае прекращения дейст</w:t>
      </w:r>
      <w:r w:rsidRPr="005F44EB">
        <w:rPr>
          <w:lang w:val="ru-RU"/>
        </w:rPr>
        <w:t>вия настоящего Договора, за исключением случаев ее раскрытия в соответствии с требованиями закона и (или) решениями, определениями суда либо правомерными требованиями государственных органов.</w:t>
      </w:r>
    </w:p>
    <w:p w14:paraId="1AB50887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9.2.</w:t>
      </w:r>
      <w:r>
        <w:t> </w:t>
      </w:r>
      <w:r w:rsidRPr="005F44EB">
        <w:rPr>
          <w:lang w:val="ru-RU"/>
        </w:rPr>
        <w:t>Стороны обязаны информировать друг друга об изменении наиме</w:t>
      </w:r>
      <w:r w:rsidRPr="005F44EB">
        <w:rPr>
          <w:lang w:val="ru-RU"/>
        </w:rPr>
        <w:t xml:space="preserve">нования их юридического лица, адреса, банка, в котором открыт расчетный счет, и номеров телефонов, </w:t>
      </w:r>
      <w:r w:rsidRPr="005F44EB">
        <w:rPr>
          <w:lang w:val="ru-RU"/>
        </w:rPr>
        <w:lastRenderedPageBreak/>
        <w:t>адресов электронной почты не позднее 2 (двух) рабочих дней после такого изменения. В</w:t>
      </w:r>
      <w:r>
        <w:t> </w:t>
      </w:r>
      <w:r w:rsidRPr="005F44EB">
        <w:rPr>
          <w:lang w:val="ru-RU"/>
        </w:rPr>
        <w:t>случае невыполнения Стороной указанного обязательства уведомления, отпра</w:t>
      </w:r>
      <w:r w:rsidRPr="005F44EB">
        <w:rPr>
          <w:lang w:val="ru-RU"/>
        </w:rPr>
        <w:t>вляемые по настоящему Договору или связанные с ним, считаются надлежаще переданными другой Стороне по указанному в нем адресу. Все неблагоприятные последствия, вызванные ненадлежащим уведомлением об изменении вышеуказанных реквизитов, несет Сторона, допуст</w:t>
      </w:r>
      <w:r w:rsidRPr="005F44EB">
        <w:rPr>
          <w:lang w:val="ru-RU"/>
        </w:rPr>
        <w:t>ившая данное нарушение.</w:t>
      </w:r>
    </w:p>
    <w:p w14:paraId="2E14E55B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9.3.</w:t>
      </w:r>
      <w:r>
        <w:t> </w:t>
      </w:r>
      <w:r w:rsidRPr="005F44EB">
        <w:rPr>
          <w:lang w:val="ru-RU"/>
        </w:rPr>
        <w:t>Все письма, уведомления, сообщения и иные документы по настоящему Договору или в связи с ним могут по усмотрению отправителя направляться заказным почтовым отправлением, или срочной курьерской службой, или с нарочным с фиксацие</w:t>
      </w:r>
      <w:r w:rsidRPr="005F44EB">
        <w:rPr>
          <w:lang w:val="ru-RU"/>
        </w:rPr>
        <w:t>й факта получения письма, уведомления, сообщения уполномоченным сотрудником получающей Стороны (могут также дублироваться по факсимильной связи). Все уведомления и сообщения, направленные заказным почтовым отправлением, или с нарочным, или срочной курьерск</w:t>
      </w:r>
      <w:r w:rsidRPr="005F44EB">
        <w:rPr>
          <w:lang w:val="ru-RU"/>
        </w:rPr>
        <w:t>ой службой, если они получены в течение обычных рабочих часов (с 9:00 до 18:00) в рабочий день, считаются полученными в день доставки, а в иных случаях</w:t>
      </w:r>
      <w:r>
        <w:t> </w:t>
      </w:r>
      <w:r w:rsidRPr="005F44EB">
        <w:rPr>
          <w:lang w:val="ru-RU"/>
        </w:rPr>
        <w:t>– на следующий рабочий день после такой доставки.</w:t>
      </w:r>
    </w:p>
    <w:p w14:paraId="72AFA461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9.4.</w:t>
      </w:r>
      <w:r>
        <w:t> </w:t>
      </w:r>
      <w:r w:rsidRPr="005F44EB">
        <w:rPr>
          <w:lang w:val="ru-RU"/>
        </w:rPr>
        <w:t xml:space="preserve">Все изменения и дополнения к настоящему Договору </w:t>
      </w:r>
      <w:r w:rsidRPr="005F44EB">
        <w:rPr>
          <w:lang w:val="ru-RU"/>
        </w:rPr>
        <w:t>должны быть совершены в письменной форме и подписаны уполномоченными на это лицами Сторон.</w:t>
      </w:r>
    </w:p>
    <w:p w14:paraId="574212A6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9.5.</w:t>
      </w:r>
      <w:r>
        <w:t> </w:t>
      </w:r>
      <w:r w:rsidRPr="005F44EB">
        <w:rPr>
          <w:lang w:val="ru-RU"/>
        </w:rPr>
        <w:t>Стороны не вправе уступать, переводить либо каким-либо иным образом передавать свои права и обязанности по настоящему Договору третьим лицам без предварительног</w:t>
      </w:r>
      <w:r w:rsidRPr="005F44EB">
        <w:rPr>
          <w:lang w:val="ru-RU"/>
        </w:rPr>
        <w:t>о письменного согласия другой Стороны.</w:t>
      </w:r>
    </w:p>
    <w:p w14:paraId="1CD25C6C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9.6.</w:t>
      </w:r>
      <w:r>
        <w:t> </w:t>
      </w:r>
      <w:r w:rsidRPr="005F44EB">
        <w:rPr>
          <w:lang w:val="ru-RU"/>
        </w:rPr>
        <w:t>Если какое-либо положение настоящего Договора будет сочтено недействительным, незаконным или не подлежащим принудительному исполнению, действительность, законность и возможность принудительного исполнения остальн</w:t>
      </w:r>
      <w:r w:rsidRPr="005F44EB">
        <w:rPr>
          <w:lang w:val="ru-RU"/>
        </w:rPr>
        <w:t xml:space="preserve">ых положений настоящего Договора не затрагивается и не умаляется. Несмотря на вышеуказанное, в случае признания какого-либо положения настоящего Договора недействительным, незаконным или не подлежащим принудительному исполнению </w:t>
      </w:r>
      <w:r>
        <w:t>Стороны предпримут все возмо</w:t>
      </w:r>
      <w:r>
        <w:t xml:space="preserve">жные и необходимые действия, включая внесение изменений и дополнений в настоящий Договор, для реализации намерений, содержащихся в таком положении, соблюдая при этом все требования законодательства Республики Беларусь. </w:t>
      </w:r>
      <w:r w:rsidRPr="005F44EB">
        <w:rPr>
          <w:lang w:val="ru-RU"/>
        </w:rPr>
        <w:t>Недействительность настоящего Договор</w:t>
      </w:r>
      <w:r w:rsidRPr="005F44EB">
        <w:rPr>
          <w:lang w:val="ru-RU"/>
        </w:rPr>
        <w:t>а или его части не влечет недействительности его части, содержащей обязательства по обеспечению конфиденциальности Сведений, составляющих коммерческую тайну.</w:t>
      </w:r>
    </w:p>
    <w:p w14:paraId="4D306736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9.7.</w:t>
      </w:r>
      <w:r>
        <w:t> </w:t>
      </w:r>
      <w:r w:rsidRPr="005F44EB">
        <w:rPr>
          <w:lang w:val="ru-RU"/>
        </w:rPr>
        <w:t>Во всем остальном, что не предусмотрено настоящим Договором, будут применяться нормы законода</w:t>
      </w:r>
      <w:r w:rsidRPr="005F44EB">
        <w:rPr>
          <w:lang w:val="ru-RU"/>
        </w:rPr>
        <w:t>тельства Республики Беларусь.</w:t>
      </w:r>
    </w:p>
    <w:p w14:paraId="54F46380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9.8.</w:t>
      </w:r>
      <w:r>
        <w:t> </w:t>
      </w:r>
      <w:r w:rsidRPr="005F44EB">
        <w:rPr>
          <w:lang w:val="ru-RU"/>
        </w:rPr>
        <w:t>Настоящий Договор подписан в _____________________________________ «__»</w:t>
      </w:r>
      <w:r>
        <w:t> </w:t>
      </w:r>
      <w:r w:rsidRPr="005F44EB">
        <w:rPr>
          <w:lang w:val="ru-RU"/>
        </w:rPr>
        <w:t>_________________ 20__ г. в двух подлинных экземплярах, каждый из которых имеет одинаковую юридическую силу.</w:t>
      </w:r>
    </w:p>
    <w:p w14:paraId="3E99FA05" w14:textId="77777777" w:rsidR="00DE3124" w:rsidRPr="005F44EB" w:rsidRDefault="005F44EB">
      <w:pPr>
        <w:spacing w:after="60"/>
        <w:ind w:firstLine="566"/>
        <w:jc w:val="both"/>
        <w:rPr>
          <w:lang w:val="ru-RU"/>
        </w:rPr>
      </w:pPr>
      <w:r w:rsidRPr="005F44EB">
        <w:rPr>
          <w:lang w:val="ru-RU"/>
        </w:rPr>
        <w:t>9.9.</w:t>
      </w:r>
      <w:r>
        <w:t> </w:t>
      </w:r>
      <w:r w:rsidRPr="005F44EB">
        <w:rPr>
          <w:lang w:val="ru-RU"/>
        </w:rPr>
        <w:t xml:space="preserve">Договор вступает в силу с даты его </w:t>
      </w:r>
      <w:r w:rsidRPr="005F44EB">
        <w:rPr>
          <w:lang w:val="ru-RU"/>
        </w:rPr>
        <w:t>подписания и действует до полного исполнения Сторонами обязательств по нему.</w:t>
      </w:r>
    </w:p>
    <w:p w14:paraId="34196776" w14:textId="77777777" w:rsidR="00DE3124" w:rsidRDefault="005F44EB">
      <w:pPr>
        <w:spacing w:before="240" w:after="240"/>
        <w:jc w:val="center"/>
      </w:pPr>
      <w:r>
        <w:rPr>
          <w:b/>
          <w:bCs/>
        </w:rPr>
        <w:t>10. Реквизиты сторон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3"/>
        <w:gridCol w:w="582"/>
        <w:gridCol w:w="4534"/>
      </w:tblGrid>
      <w:tr w:rsidR="00DE3124" w14:paraId="7936AE30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4DA2E4F2" w14:textId="77777777" w:rsidR="00DE3124" w:rsidRDefault="005F44EB">
            <w:pPr>
              <w:spacing w:after="60"/>
              <w:jc w:val="both"/>
            </w:pPr>
            <w:r>
              <w:rPr>
                <w:b/>
                <w:bCs/>
              </w:rPr>
              <w:t>Обладатель</w:t>
            </w:r>
          </w:p>
        </w:tc>
        <w:tc>
          <w:tcPr>
            <w:tcW w:w="302" w:type="pct"/>
            <w:vMerge w:val="restart"/>
          </w:tcPr>
          <w:p w14:paraId="7D35F1E6" w14:textId="77777777" w:rsidR="00DE3124" w:rsidRDefault="005F44EB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198E0A87" w14:textId="77777777" w:rsidR="00DE3124" w:rsidRDefault="005F44EB">
            <w:pPr>
              <w:spacing w:after="60"/>
              <w:jc w:val="both"/>
            </w:pPr>
            <w:r>
              <w:rPr>
                <w:b/>
                <w:bCs/>
              </w:rPr>
              <w:t>Приобретатель</w:t>
            </w:r>
          </w:p>
        </w:tc>
      </w:tr>
      <w:tr w:rsidR="00DE3124" w14:paraId="727FC82E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41C55CC7" w14:textId="77777777" w:rsidR="00DE3124" w:rsidRDefault="005F44EB">
            <w:pPr>
              <w:spacing w:after="60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</w:tcPr>
          <w:p w14:paraId="4B850327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48D6C63C" w14:textId="77777777" w:rsidR="00DE3124" w:rsidRDefault="005F44EB">
            <w:pPr>
              <w:spacing w:after="60"/>
              <w:jc w:val="both"/>
            </w:pPr>
            <w:r>
              <w:t> </w:t>
            </w:r>
          </w:p>
        </w:tc>
      </w:tr>
      <w:tr w:rsidR="00DE3124" w14:paraId="3265D852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2B2F8B7E" w14:textId="77777777" w:rsidR="00DE3124" w:rsidRDefault="005F44EB">
            <w:pPr>
              <w:spacing w:after="60"/>
              <w:jc w:val="both"/>
            </w:pPr>
            <w:r>
              <w:t>Наименование ______________________</w:t>
            </w:r>
          </w:p>
        </w:tc>
        <w:tc>
          <w:tcPr>
            <w:tcW w:w="302" w:type="pct"/>
            <w:vMerge w:val="restart"/>
          </w:tcPr>
          <w:p w14:paraId="5A072123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5E8F16AD" w14:textId="77777777" w:rsidR="00DE3124" w:rsidRDefault="005F44EB">
            <w:pPr>
              <w:spacing w:after="60"/>
              <w:jc w:val="both"/>
            </w:pPr>
            <w:r>
              <w:t>Наименование ______________________</w:t>
            </w:r>
          </w:p>
        </w:tc>
      </w:tr>
      <w:tr w:rsidR="00DE3124" w14:paraId="6E291D0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082883BB" w14:textId="77777777" w:rsidR="00DE3124" w:rsidRDefault="005F44EB">
            <w:pPr>
              <w:spacing w:after="60"/>
              <w:jc w:val="both"/>
            </w:pPr>
            <w:r>
              <w:lastRenderedPageBreak/>
              <w:t>Место нахождения __________________</w:t>
            </w:r>
          </w:p>
        </w:tc>
        <w:tc>
          <w:tcPr>
            <w:tcW w:w="302" w:type="pct"/>
            <w:vMerge w:val="restart"/>
          </w:tcPr>
          <w:p w14:paraId="15524A6B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10FDA82A" w14:textId="77777777" w:rsidR="00DE3124" w:rsidRDefault="005F44EB">
            <w:pPr>
              <w:spacing w:after="60"/>
              <w:jc w:val="both"/>
            </w:pPr>
            <w:r>
              <w:t>Место нахождения __________________</w:t>
            </w:r>
          </w:p>
        </w:tc>
      </w:tr>
      <w:tr w:rsidR="00DE3124" w14:paraId="1E432625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3A4CC56E" w14:textId="77777777" w:rsidR="00DE3124" w:rsidRDefault="005F44EB">
            <w:pPr>
              <w:spacing w:after="60"/>
              <w:jc w:val="both"/>
            </w:pPr>
            <w:r>
              <w:t>УНП ______________________________</w:t>
            </w:r>
          </w:p>
        </w:tc>
        <w:tc>
          <w:tcPr>
            <w:tcW w:w="302" w:type="pct"/>
            <w:vMerge w:val="restart"/>
          </w:tcPr>
          <w:p w14:paraId="2E3EE5E7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3E0699B2" w14:textId="77777777" w:rsidR="00DE3124" w:rsidRDefault="005F44EB">
            <w:pPr>
              <w:spacing w:after="60"/>
              <w:jc w:val="both"/>
            </w:pPr>
            <w:r>
              <w:t>УНП ______________________________</w:t>
            </w:r>
          </w:p>
        </w:tc>
      </w:tr>
      <w:tr w:rsidR="00DE3124" w14:paraId="4B062069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111B232D" w14:textId="77777777" w:rsidR="00DE3124" w:rsidRDefault="005F44EB">
            <w:pPr>
              <w:spacing w:after="60"/>
              <w:jc w:val="both"/>
            </w:pPr>
            <w:r>
              <w:t>р/с ________________________________</w:t>
            </w:r>
          </w:p>
        </w:tc>
        <w:tc>
          <w:tcPr>
            <w:tcW w:w="302" w:type="pct"/>
            <w:vMerge w:val="restart"/>
          </w:tcPr>
          <w:p w14:paraId="59211EA2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66A109E9" w14:textId="77777777" w:rsidR="00DE3124" w:rsidRDefault="005F44EB">
            <w:pPr>
              <w:spacing w:after="60"/>
              <w:jc w:val="both"/>
            </w:pPr>
            <w:r>
              <w:t>р/с ________________________________</w:t>
            </w:r>
          </w:p>
        </w:tc>
      </w:tr>
      <w:tr w:rsidR="00DE3124" w14:paraId="47D45FD9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45164425" w14:textId="77777777" w:rsidR="00DE3124" w:rsidRDefault="005F44EB">
            <w:pPr>
              <w:spacing w:after="60"/>
              <w:jc w:val="both"/>
            </w:pPr>
            <w:r>
              <w:t>в __________________________________</w:t>
            </w:r>
          </w:p>
        </w:tc>
        <w:tc>
          <w:tcPr>
            <w:tcW w:w="302" w:type="pct"/>
            <w:vMerge w:val="restart"/>
          </w:tcPr>
          <w:p w14:paraId="02411DC8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17202912" w14:textId="77777777" w:rsidR="00DE3124" w:rsidRDefault="005F44EB">
            <w:pPr>
              <w:spacing w:after="60"/>
              <w:jc w:val="both"/>
            </w:pPr>
            <w:r>
              <w:t>в __________________________________</w:t>
            </w:r>
          </w:p>
        </w:tc>
      </w:tr>
      <w:tr w:rsidR="00DE3124" w14:paraId="188237CC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396DDD2D" w14:textId="77777777" w:rsidR="00DE3124" w:rsidRDefault="005F44EB">
            <w:pPr>
              <w:spacing w:after="60"/>
              <w:jc w:val="both"/>
            </w:pPr>
            <w:r>
              <w:t>код банка __________________________</w:t>
            </w:r>
          </w:p>
        </w:tc>
        <w:tc>
          <w:tcPr>
            <w:tcW w:w="302" w:type="pct"/>
            <w:vMerge w:val="restart"/>
          </w:tcPr>
          <w:p w14:paraId="46CADCEA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6F89E77A" w14:textId="77777777" w:rsidR="00DE3124" w:rsidRDefault="005F44EB">
            <w:pPr>
              <w:spacing w:after="60"/>
              <w:jc w:val="both"/>
            </w:pPr>
            <w:r>
              <w:t>код банка __________________________</w:t>
            </w:r>
          </w:p>
        </w:tc>
      </w:tr>
      <w:tr w:rsidR="00DE3124" w14:paraId="42EB3D21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56A345FB" w14:textId="77777777" w:rsidR="00DE3124" w:rsidRDefault="005F44EB">
            <w:pPr>
              <w:spacing w:after="60"/>
              <w:jc w:val="both"/>
            </w:pPr>
            <w:r>
              <w:t>адрес банка: ________________________</w:t>
            </w:r>
          </w:p>
        </w:tc>
        <w:tc>
          <w:tcPr>
            <w:tcW w:w="302" w:type="pct"/>
            <w:vMerge w:val="restart"/>
          </w:tcPr>
          <w:p w14:paraId="50C082DA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0468C8C7" w14:textId="77777777" w:rsidR="00DE3124" w:rsidRDefault="005F44EB">
            <w:pPr>
              <w:spacing w:after="60"/>
              <w:jc w:val="both"/>
            </w:pPr>
            <w:r>
              <w:t>адрес банка: ___________</w:t>
            </w:r>
            <w:r>
              <w:t>_____________</w:t>
            </w:r>
          </w:p>
        </w:tc>
      </w:tr>
      <w:tr w:rsidR="00DE3124" w14:paraId="43AB662D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6" w:type="pct"/>
            <w:vMerge w:val="restart"/>
          </w:tcPr>
          <w:p w14:paraId="5594F5BA" w14:textId="77777777" w:rsidR="00DE3124" w:rsidRDefault="005F44EB">
            <w:pPr>
              <w:spacing w:after="60"/>
              <w:jc w:val="both"/>
            </w:pPr>
            <w:r>
              <w:t>тел. _______________________________</w:t>
            </w:r>
          </w:p>
        </w:tc>
        <w:tc>
          <w:tcPr>
            <w:tcW w:w="302" w:type="pct"/>
            <w:vMerge w:val="restart"/>
          </w:tcPr>
          <w:p w14:paraId="4EA3B923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52" w:type="pct"/>
            <w:vMerge w:val="restart"/>
          </w:tcPr>
          <w:p w14:paraId="7A024203" w14:textId="77777777" w:rsidR="00DE3124" w:rsidRDefault="005F44EB">
            <w:pPr>
              <w:spacing w:after="60"/>
              <w:jc w:val="both"/>
            </w:pPr>
            <w:r>
              <w:t>тел. _______________________________</w:t>
            </w:r>
          </w:p>
        </w:tc>
      </w:tr>
    </w:tbl>
    <w:p w14:paraId="217B9435" w14:textId="77777777" w:rsidR="00DE3124" w:rsidRDefault="005F44EB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120"/>
        <w:gridCol w:w="2502"/>
        <w:gridCol w:w="582"/>
        <w:gridCol w:w="1893"/>
        <w:gridCol w:w="147"/>
        <w:gridCol w:w="2493"/>
      </w:tblGrid>
      <w:tr w:rsidR="00DE3124" w14:paraId="5D5A6353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47" w:type="pct"/>
            <w:gridSpan w:val="3"/>
            <w:vMerge w:val="restart"/>
          </w:tcPr>
          <w:p w14:paraId="1CF17026" w14:textId="77777777" w:rsidR="00DE3124" w:rsidRDefault="005F44EB">
            <w:pPr>
              <w:spacing w:after="60"/>
              <w:jc w:val="both"/>
            </w:pPr>
            <w:r>
              <w:rPr>
                <w:b/>
                <w:bCs/>
              </w:rPr>
              <w:t>От имени Обладателя</w:t>
            </w:r>
          </w:p>
        </w:tc>
        <w:tc>
          <w:tcPr>
            <w:tcW w:w="302" w:type="pct"/>
            <w:vMerge w:val="restart"/>
          </w:tcPr>
          <w:p w14:paraId="756832CD" w14:textId="77777777" w:rsidR="00DE3124" w:rsidRDefault="005F44EB">
            <w:pPr>
              <w:spacing w:after="60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2351" w:type="pct"/>
            <w:gridSpan w:val="3"/>
            <w:vMerge w:val="restart"/>
          </w:tcPr>
          <w:p w14:paraId="3971C9E0" w14:textId="77777777" w:rsidR="00DE3124" w:rsidRDefault="005F44EB">
            <w:pPr>
              <w:spacing w:after="60"/>
              <w:jc w:val="both"/>
            </w:pPr>
            <w:r>
              <w:rPr>
                <w:b/>
                <w:bCs/>
              </w:rPr>
              <w:t>От имени Приобретателя</w:t>
            </w:r>
          </w:p>
        </w:tc>
      </w:tr>
      <w:tr w:rsidR="00DE3124" w14:paraId="08B49CB3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987" w:type="pct"/>
            <w:vMerge w:val="restart"/>
          </w:tcPr>
          <w:p w14:paraId="6FA155E5" w14:textId="77777777" w:rsidR="00DE3124" w:rsidRDefault="005F44EB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62" w:type="pct"/>
            <w:vMerge w:val="restart"/>
          </w:tcPr>
          <w:p w14:paraId="1B691DDE" w14:textId="77777777" w:rsidR="00DE3124" w:rsidRDefault="005F44EB">
            <w:pPr>
              <w:spacing w:after="60"/>
              <w:jc w:val="center"/>
            </w:pPr>
            <w:r>
              <w:t>/</w:t>
            </w:r>
          </w:p>
        </w:tc>
        <w:tc>
          <w:tcPr>
            <w:tcW w:w="1298" w:type="pct"/>
            <w:vMerge w:val="restart"/>
          </w:tcPr>
          <w:p w14:paraId="2AAB81E0" w14:textId="77777777" w:rsidR="00DE3124" w:rsidRDefault="005F44EB">
            <w:pPr>
              <w:spacing w:after="60"/>
              <w:jc w:val="both"/>
            </w:pPr>
            <w:r>
              <w:t>___________________</w:t>
            </w:r>
          </w:p>
        </w:tc>
        <w:tc>
          <w:tcPr>
            <w:tcW w:w="302" w:type="pct"/>
            <w:vMerge w:val="restart"/>
          </w:tcPr>
          <w:p w14:paraId="10A23902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2" w:type="pct"/>
            <w:vMerge w:val="restart"/>
          </w:tcPr>
          <w:p w14:paraId="3A71B1E8" w14:textId="77777777" w:rsidR="00DE3124" w:rsidRDefault="005F44EB">
            <w:pPr>
              <w:spacing w:after="60"/>
              <w:jc w:val="both"/>
            </w:pPr>
            <w:r>
              <w:t>_______________</w:t>
            </w:r>
          </w:p>
        </w:tc>
        <w:tc>
          <w:tcPr>
            <w:tcW w:w="76" w:type="pct"/>
            <w:vMerge w:val="restart"/>
          </w:tcPr>
          <w:p w14:paraId="36C2E341" w14:textId="77777777" w:rsidR="00DE3124" w:rsidRDefault="005F44EB">
            <w:pPr>
              <w:spacing w:after="60"/>
              <w:jc w:val="both"/>
            </w:pPr>
            <w:r>
              <w:t>/</w:t>
            </w:r>
          </w:p>
        </w:tc>
        <w:tc>
          <w:tcPr>
            <w:tcW w:w="1293" w:type="pct"/>
            <w:vMerge w:val="restart"/>
          </w:tcPr>
          <w:p w14:paraId="6D950383" w14:textId="77777777" w:rsidR="00DE3124" w:rsidRDefault="005F44EB">
            <w:pPr>
              <w:spacing w:after="60"/>
              <w:jc w:val="both"/>
            </w:pPr>
            <w:r>
              <w:t>___________________</w:t>
            </w:r>
          </w:p>
        </w:tc>
      </w:tr>
      <w:tr w:rsidR="00DE3124" w14:paraId="071CA5E9" w14:textId="77777777">
        <w:tblPrEx>
          <w:tblCellMar>
            <w:top w:w="0" w:type="dxa"/>
            <w:bottom w:w="0" w:type="dxa"/>
          </w:tblCellMar>
        </w:tblPrEx>
        <w:trPr>
          <w:trHeight w:val="321"/>
          <w:tblCellSpacing w:w="0" w:type="dxa"/>
        </w:trPr>
        <w:tc>
          <w:tcPr>
            <w:tcW w:w="987" w:type="pct"/>
            <w:vMerge w:val="restart"/>
          </w:tcPr>
          <w:p w14:paraId="13EC25EB" w14:textId="77777777" w:rsidR="00DE3124" w:rsidRDefault="005F44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62" w:type="pct"/>
            <w:vMerge w:val="restart"/>
          </w:tcPr>
          <w:p w14:paraId="65776643" w14:textId="77777777" w:rsidR="00DE3124" w:rsidRDefault="005F44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8" w:type="pct"/>
            <w:vMerge w:val="restart"/>
          </w:tcPr>
          <w:p w14:paraId="309AF387" w14:textId="77777777" w:rsidR="00DE3124" w:rsidRDefault="005F44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02" w:type="pct"/>
            <w:vMerge w:val="restart"/>
          </w:tcPr>
          <w:p w14:paraId="437D5E0E" w14:textId="77777777" w:rsidR="00DE3124" w:rsidRDefault="005F44E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2" w:type="pct"/>
            <w:vMerge w:val="restart"/>
          </w:tcPr>
          <w:p w14:paraId="3B8E1B06" w14:textId="77777777" w:rsidR="00DE3124" w:rsidRDefault="005F44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76" w:type="pct"/>
            <w:vMerge w:val="restart"/>
          </w:tcPr>
          <w:p w14:paraId="55AF8A26" w14:textId="77777777" w:rsidR="00DE3124" w:rsidRDefault="005F44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3" w:type="pct"/>
            <w:vMerge w:val="restart"/>
          </w:tcPr>
          <w:p w14:paraId="4A53ACE5" w14:textId="77777777" w:rsidR="00DE3124" w:rsidRDefault="005F44E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71159184" w14:textId="77777777" w:rsidR="00DE3124" w:rsidRDefault="005F44EB">
      <w:pPr>
        <w:spacing w:after="60"/>
        <w:ind w:firstLine="566"/>
        <w:jc w:val="both"/>
      </w:pPr>
      <w:r>
        <w:t> </w:t>
      </w:r>
    </w:p>
    <w:p w14:paraId="637C65CB" w14:textId="77777777" w:rsidR="00DE3124" w:rsidRDefault="005F44EB">
      <w:pPr>
        <w:spacing w:after="60"/>
        <w:jc w:val="both"/>
      </w:pPr>
      <w:r>
        <w:rPr>
          <w:b/>
          <w:bCs/>
        </w:rPr>
        <w:t>МАНЦЕВИЧ Т.И.,</w:t>
      </w:r>
    </w:p>
    <w:p w14:paraId="365A0BDE" w14:textId="77777777" w:rsidR="00DE3124" w:rsidRDefault="005F44EB">
      <w:pPr>
        <w:spacing w:after="60"/>
        <w:jc w:val="both"/>
      </w:pPr>
      <w:r>
        <w:t>юрист</w:t>
      </w:r>
    </w:p>
    <w:p w14:paraId="37860570" w14:textId="77777777" w:rsidR="00DE3124" w:rsidRDefault="005F44EB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0"/>
        <w:gridCol w:w="3659"/>
      </w:tblGrid>
      <w:tr w:rsidR="00DE3124" w14:paraId="28CD87E0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102" w:type="pct"/>
            <w:vMerge w:val="restart"/>
          </w:tcPr>
          <w:p w14:paraId="2B8B5F99" w14:textId="77777777" w:rsidR="00DE3124" w:rsidRDefault="005F44EB">
            <w:pPr>
              <w:spacing w:after="60"/>
              <w:jc w:val="both"/>
            </w:pPr>
            <w:r>
              <w:t> </w:t>
            </w:r>
          </w:p>
        </w:tc>
        <w:tc>
          <w:tcPr>
            <w:tcW w:w="1898" w:type="pct"/>
            <w:vMerge w:val="restart"/>
          </w:tcPr>
          <w:p w14:paraId="1CDF361E" w14:textId="77777777" w:rsidR="00DE3124" w:rsidRDefault="005F44EB">
            <w:pPr>
              <w:spacing w:after="60"/>
              <w:jc w:val="both"/>
            </w:pPr>
            <w:r>
              <w:t>Материал подготовлен</w:t>
            </w:r>
          </w:p>
          <w:p w14:paraId="3A2BE5F4" w14:textId="77777777" w:rsidR="00DE3124" w:rsidRDefault="005F44EB">
            <w:pPr>
              <w:spacing w:after="60"/>
              <w:jc w:val="both"/>
            </w:pPr>
            <w:r>
              <w:t>с использованием нормативных</w:t>
            </w:r>
          </w:p>
          <w:p w14:paraId="41219F4D" w14:textId="77777777" w:rsidR="00DE3124" w:rsidRDefault="005F44EB">
            <w:pPr>
              <w:spacing w:after="60"/>
              <w:jc w:val="both"/>
            </w:pPr>
            <w:r>
              <w:t>правовых актов по состоянию</w:t>
            </w:r>
          </w:p>
          <w:p w14:paraId="41E928C3" w14:textId="77777777" w:rsidR="00DE3124" w:rsidRDefault="005F44EB">
            <w:pPr>
              <w:spacing w:after="60"/>
              <w:jc w:val="both"/>
            </w:pPr>
            <w:r>
              <w:t>на 27 июля 2018 г.</w:t>
            </w:r>
          </w:p>
        </w:tc>
      </w:tr>
    </w:tbl>
    <w:p w14:paraId="6FE25757" w14:textId="77777777" w:rsidR="00DE3124" w:rsidRDefault="005F44EB">
      <w:pPr>
        <w:spacing w:after="60"/>
        <w:ind w:firstLine="566"/>
        <w:jc w:val="both"/>
      </w:pPr>
      <w:r>
        <w:t> </w:t>
      </w:r>
    </w:p>
    <w:sectPr w:rsidR="00DE312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24"/>
    <w:rsid w:val="005F44EB"/>
    <w:rsid w:val="00D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7E2EE1"/>
  <w15:docId w15:val="{596EA1D8-BBC0-478A-AFF2-497BD38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2728</Words>
  <Characters>15550</Characters>
  <Application>Microsoft Office Word</Application>
  <DocSecurity>0</DocSecurity>
  <Lines>129</Lines>
  <Paragraphs>36</Paragraphs>
  <ScaleCrop>false</ScaleCrop>
  <Manager/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2024-01-28T09:17:00Z</dcterms:created>
  <dcterms:modified xsi:type="dcterms:W3CDTF">2024-01-28T09:17:00Z</dcterms:modified>
  <cp:category/>
</cp:coreProperties>
</file>