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4916"/>
      </w:tblGrid>
      <w:tr w:rsidR="004F63C3" w:rsidRPr="00DA75FD" w:rsidTr="003C573B">
        <w:trPr>
          <w:trHeight w:val="1280"/>
        </w:trPr>
        <w:tc>
          <w:tcPr>
            <w:tcW w:w="4655" w:type="dxa"/>
          </w:tcPr>
          <w:p w:rsidR="004F63C3" w:rsidRPr="00DA75FD" w:rsidRDefault="004F63C3" w:rsidP="003C573B">
            <w:pPr>
              <w:rPr>
                <w:rFonts w:eastAsia="Calibri"/>
                <w:caps/>
                <w:sz w:val="24"/>
                <w:szCs w:val="24"/>
              </w:rPr>
            </w:pPr>
          </w:p>
        </w:tc>
        <w:tc>
          <w:tcPr>
            <w:tcW w:w="4916" w:type="dxa"/>
          </w:tcPr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caps/>
                <w:sz w:val="24"/>
                <w:szCs w:val="24"/>
              </w:rPr>
              <w:t>Утверждаю</w:t>
            </w:r>
          </w:p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Зав. кафедрой</w:t>
            </w:r>
          </w:p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экономики и МЭО в АПК</w:t>
            </w:r>
          </w:p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 xml:space="preserve">____________ А.В. </w:t>
            </w:r>
            <w:proofErr w:type="spellStart"/>
            <w:r w:rsidRPr="00DA75FD">
              <w:rPr>
                <w:rFonts w:eastAsia="Calibri"/>
                <w:sz w:val="24"/>
                <w:szCs w:val="24"/>
              </w:rPr>
              <w:t>Колмыков</w:t>
            </w:r>
            <w:proofErr w:type="spellEnd"/>
          </w:p>
          <w:p w:rsidR="004F63C3" w:rsidRPr="00DA75FD" w:rsidRDefault="004F63C3" w:rsidP="002A083D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0</w:t>
            </w:r>
            <w:r w:rsidR="002A083D">
              <w:rPr>
                <w:rFonts w:eastAsia="Calibri"/>
                <w:sz w:val="24"/>
                <w:szCs w:val="24"/>
              </w:rPr>
              <w:t>5</w:t>
            </w:r>
            <w:r w:rsidRPr="00DA75FD">
              <w:rPr>
                <w:rFonts w:eastAsia="Calibri"/>
                <w:sz w:val="24"/>
                <w:szCs w:val="24"/>
              </w:rPr>
              <w:t>.0</w:t>
            </w:r>
            <w:r w:rsidR="002A083D">
              <w:rPr>
                <w:rFonts w:eastAsia="Calibri"/>
                <w:sz w:val="24"/>
                <w:szCs w:val="24"/>
              </w:rPr>
              <w:t>6</w:t>
            </w:r>
            <w:r w:rsidRPr="00DA75FD">
              <w:rPr>
                <w:rFonts w:eastAsia="Calibri"/>
                <w:sz w:val="24"/>
                <w:szCs w:val="24"/>
              </w:rPr>
              <w:t>.202</w:t>
            </w:r>
            <w:r w:rsidR="002A083D">
              <w:rPr>
                <w:rFonts w:eastAsia="Calibri"/>
                <w:sz w:val="24"/>
                <w:szCs w:val="24"/>
              </w:rPr>
              <w:t>4</w:t>
            </w:r>
          </w:p>
        </w:tc>
      </w:tr>
    </w:tbl>
    <w:p w:rsidR="004F63C3" w:rsidRPr="004F63C3" w:rsidRDefault="004F63C3" w:rsidP="00B3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3C3" w:rsidRPr="004F63C3" w:rsidRDefault="004F63C3" w:rsidP="00B3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C3">
        <w:rPr>
          <w:rFonts w:ascii="Times New Roman" w:hAnsi="Times New Roman" w:cs="Times New Roman"/>
          <w:b/>
          <w:sz w:val="24"/>
          <w:szCs w:val="24"/>
        </w:rPr>
        <w:t>Темы рефератов для семинарских занятий</w:t>
      </w:r>
    </w:p>
    <w:p w:rsidR="004F63C3" w:rsidRDefault="00B32E96" w:rsidP="00B3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C3">
        <w:rPr>
          <w:rFonts w:ascii="Times New Roman" w:hAnsi="Times New Roman" w:cs="Times New Roman"/>
          <w:b/>
          <w:sz w:val="24"/>
          <w:szCs w:val="24"/>
        </w:rPr>
        <w:t>по дисциплине «Экономика ресурсосбережения</w:t>
      </w:r>
      <w:r w:rsidR="002A083D">
        <w:rPr>
          <w:rFonts w:ascii="Times New Roman" w:hAnsi="Times New Roman" w:cs="Times New Roman"/>
          <w:b/>
          <w:sz w:val="24"/>
          <w:szCs w:val="24"/>
        </w:rPr>
        <w:t xml:space="preserve"> и ценообразование</w:t>
      </w:r>
      <w:r w:rsidRPr="004F63C3">
        <w:rPr>
          <w:rFonts w:ascii="Times New Roman" w:hAnsi="Times New Roman" w:cs="Times New Roman"/>
          <w:b/>
          <w:sz w:val="24"/>
          <w:szCs w:val="24"/>
        </w:rPr>
        <w:t>»</w:t>
      </w:r>
      <w:r w:rsidR="004F63C3" w:rsidRPr="004F63C3">
        <w:rPr>
          <w:sz w:val="24"/>
          <w:szCs w:val="24"/>
        </w:rPr>
        <w:t xml:space="preserve"> </w:t>
      </w:r>
      <w:r w:rsidR="004F63C3">
        <w:rPr>
          <w:rFonts w:ascii="Times New Roman" w:hAnsi="Times New Roman" w:cs="Times New Roman"/>
          <w:b/>
          <w:sz w:val="24"/>
          <w:szCs w:val="24"/>
        </w:rPr>
        <w:t>для студентов</w:t>
      </w:r>
    </w:p>
    <w:p w:rsidR="00E95978" w:rsidRDefault="004F63C3" w:rsidP="002A0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C3"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  <w:r w:rsidR="002A083D" w:rsidRPr="002A083D">
        <w:rPr>
          <w:rFonts w:ascii="Times New Roman" w:hAnsi="Times New Roman" w:cs="Times New Roman"/>
          <w:b/>
          <w:sz w:val="24"/>
          <w:szCs w:val="24"/>
        </w:rPr>
        <w:t xml:space="preserve">6-05-0811-04 </w:t>
      </w:r>
      <w:proofErr w:type="spellStart"/>
      <w:r w:rsidR="002A083D" w:rsidRPr="002A083D">
        <w:rPr>
          <w:rFonts w:ascii="Times New Roman" w:hAnsi="Times New Roman" w:cs="Times New Roman"/>
          <w:b/>
          <w:sz w:val="24"/>
          <w:szCs w:val="24"/>
        </w:rPr>
        <w:t>Агробизнес</w:t>
      </w:r>
      <w:proofErr w:type="spellEnd"/>
    </w:p>
    <w:p w:rsidR="002A083D" w:rsidRPr="004F63C3" w:rsidRDefault="002A083D" w:rsidP="002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Солнечная э</w:t>
      </w:r>
      <w:r w:rsidR="00E911F7" w:rsidRPr="002A083D">
        <w:rPr>
          <w:rFonts w:ascii="Times New Roman" w:hAnsi="Times New Roman" w:cs="Times New Roman"/>
          <w:sz w:val="24"/>
          <w:szCs w:val="24"/>
        </w:rPr>
        <w:t>нергия: потенциал, мировой опыт</w:t>
      </w:r>
      <w:r w:rsidRPr="002A083D">
        <w:rPr>
          <w:rFonts w:ascii="Times New Roman" w:hAnsi="Times New Roman" w:cs="Times New Roman"/>
          <w:sz w:val="24"/>
          <w:szCs w:val="24"/>
        </w:rPr>
        <w:t xml:space="preserve"> использования, экономическая и экологическая оценка использования.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Ветроэнергетика: прогнозы использования, экономическая и экологическая оценка.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Биоэнергетика: мировой опыт, потенциал. Местные виды топлива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Геотермальная энергия: проблемы и перспективы использования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Вторичные энергетические ресурсы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Ядерная энергетика</w:t>
      </w:r>
    </w:p>
    <w:p w:rsidR="00E95978" w:rsidRPr="002A083D" w:rsidRDefault="00E911F7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 xml:space="preserve">Энергосберегающая политика </w:t>
      </w:r>
      <w:r w:rsidR="00E95978" w:rsidRPr="002A083D">
        <w:rPr>
          <w:rFonts w:ascii="Times New Roman" w:hAnsi="Times New Roman" w:cs="Times New Roman"/>
          <w:sz w:val="24"/>
          <w:szCs w:val="24"/>
        </w:rPr>
        <w:t>в АПК. Эффективность ТЭР в отраслях АПК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Интенсификация – главный путь в снижении энергетических затрат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Оптимизация землепользования, применения удобрений и средств защиты растений  как пути энергосбережения в АПК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Основные направления ресурсосбережения в отраслях АПК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Методика биоэнергетической оценки технологий в растениеводстве</w:t>
      </w:r>
    </w:p>
    <w:p w:rsidR="00E95978" w:rsidRPr="002A083D" w:rsidRDefault="00B32E96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Пути снижения</w:t>
      </w:r>
      <w:r w:rsidR="00E95978" w:rsidRPr="002A083D">
        <w:rPr>
          <w:rFonts w:ascii="Times New Roman" w:hAnsi="Times New Roman" w:cs="Times New Roman"/>
          <w:sz w:val="24"/>
          <w:szCs w:val="24"/>
        </w:rPr>
        <w:t xml:space="preserve"> энергоемкости технологических процессов при обработке почвы, посеве, внесении удобрений и применении ядохимикатов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Ресурсосбережение при производстве и использовании кормов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Экономика ресурсосберегающих технологий создания оптимального микроклимата  животноводческих помещений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Экономика ресурсосберегающих технологий удаления навоза, водоснабжения и поения животных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Нормативно-правовое обеспечение ресурсосберегающей деятельности, перечень важнейших законодательных и нормативно-правовых актов в США и в странах Западной Европы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Оценка тенденций ресурсосбережения в странах СНГ и их нормативно-правовое обеспечение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Опыт зарубежных стран в области ресурсосберегающей деятельности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Организационно-правовое обеспечение проблемы ресурсосбережения в Республике Беларусь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Оценка потенциальных резервов экономии материальных ресурсов и мероприятия по их достижению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Минерально-сырьевой комплекс Республики Беларусь: потенциал, прогнозные запасы, эффективность использования</w:t>
      </w:r>
    </w:p>
    <w:p w:rsidR="00E95978" w:rsidRPr="002A083D" w:rsidRDefault="00E95978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Земельные, водные и лесные ресурсы Республики Беларусь</w:t>
      </w:r>
    </w:p>
    <w:p w:rsidR="00B32E96" w:rsidRPr="002A083D" w:rsidRDefault="00B32E96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Стратегия дальнейшего развития минерально-сырьевого  и природного потенциала Республики Беларусь</w:t>
      </w:r>
    </w:p>
    <w:p w:rsidR="00E95978" w:rsidRPr="002A083D" w:rsidRDefault="00B32E96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Мировая энергетика: оценка состояния, проблемы и перспективы развития</w:t>
      </w:r>
    </w:p>
    <w:p w:rsidR="00B32E96" w:rsidRPr="002A083D" w:rsidRDefault="00B32E96" w:rsidP="002A08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083D">
        <w:rPr>
          <w:rFonts w:ascii="Times New Roman" w:hAnsi="Times New Roman" w:cs="Times New Roman"/>
          <w:sz w:val="24"/>
          <w:szCs w:val="24"/>
        </w:rPr>
        <w:t>Энергосберегающая деятельность в Республике Беларусь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Теоретические аспекты рыночного ценообразования.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Цены как инструмент маркетинговой политики.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2A083D">
        <w:rPr>
          <w:color w:val="000000"/>
        </w:rPr>
        <w:t>Ценообразующие</w:t>
      </w:r>
      <w:proofErr w:type="spellEnd"/>
      <w:r w:rsidRPr="002A083D">
        <w:rPr>
          <w:color w:val="000000"/>
        </w:rPr>
        <w:t xml:space="preserve"> факторы в условиях рынка и их классификация.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Цены и их роль в координации рынка.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Ценовая политика предприятия.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Основы формирования ценовой стратегии.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Ценовые стратегии, их виды и классификация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lastRenderedPageBreak/>
        <w:t>Этапы разработки ценовой стратегии.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Рыночный монополизм и ценообразование.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Затратное ценообразование, его преимущества и недостатки.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Учет затрат при формировании цен.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Методы затратного ценообразования в деятельности коммерческих фирм.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Формирование цен с учетом конкуренции.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Ценообразование и стимулирование продаж.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Система скидок как инструмент стимулирования продаж.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Виды цен и их классификация.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Регулирование цен на продукцию и услуги в сферах естественных монополиях.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Регулирование цен в странах с развитой рыночной экономикой.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Ценообразование на рынке сельхозпродукции и продовольствия.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A083D">
        <w:rPr>
          <w:color w:val="000000"/>
        </w:rPr>
        <w:t>Ценовое регулирование продовольственного рынка Беларуси.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A083D">
        <w:t>Полити</w:t>
      </w:r>
      <w:r>
        <w:t>ка цен жизненного цикла товара.</w:t>
      </w:r>
    </w:p>
    <w:p w:rsidR="002A083D" w:rsidRPr="002A083D" w:rsidRDefault="002A083D" w:rsidP="002A083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A083D">
        <w:t>Ценообразование во внешней торговле.</w:t>
      </w:r>
    </w:p>
    <w:p w:rsidR="00E911F7" w:rsidRDefault="00E911F7" w:rsidP="00E911F7">
      <w:pPr>
        <w:pStyle w:val="a3"/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B0DFB" w:rsidRDefault="006B0DFB" w:rsidP="00E911F7">
      <w:pPr>
        <w:pStyle w:val="a3"/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СОСТАВИЛ:</w:t>
      </w: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 xml:space="preserve">кафедры экономики и МЭО в АПК                                                                    А.Н. </w:t>
      </w:r>
      <w:proofErr w:type="spellStart"/>
      <w:r w:rsidRPr="004F63C3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</w:p>
    <w:p w:rsidR="004F63C3" w:rsidRDefault="004F63C3" w:rsidP="00E911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0</w:t>
      </w:r>
      <w:r w:rsidR="002A083D">
        <w:rPr>
          <w:rFonts w:ascii="Times New Roman" w:hAnsi="Times New Roman" w:cs="Times New Roman"/>
          <w:sz w:val="24"/>
          <w:szCs w:val="24"/>
        </w:rPr>
        <w:t>5</w:t>
      </w:r>
      <w:r w:rsidRPr="004F63C3">
        <w:rPr>
          <w:rFonts w:ascii="Times New Roman" w:hAnsi="Times New Roman" w:cs="Times New Roman"/>
          <w:sz w:val="24"/>
          <w:szCs w:val="24"/>
        </w:rPr>
        <w:t>.0</w:t>
      </w:r>
      <w:r w:rsidR="002A083D">
        <w:rPr>
          <w:rFonts w:ascii="Times New Roman" w:hAnsi="Times New Roman" w:cs="Times New Roman"/>
          <w:sz w:val="24"/>
          <w:szCs w:val="24"/>
        </w:rPr>
        <w:t>6</w:t>
      </w:r>
      <w:r w:rsidRPr="004F63C3">
        <w:rPr>
          <w:rFonts w:ascii="Times New Roman" w:hAnsi="Times New Roman" w:cs="Times New Roman"/>
          <w:sz w:val="24"/>
          <w:szCs w:val="24"/>
        </w:rPr>
        <w:t>.202</w:t>
      </w:r>
      <w:r w:rsidR="002A083D">
        <w:rPr>
          <w:rFonts w:ascii="Times New Roman" w:hAnsi="Times New Roman" w:cs="Times New Roman"/>
          <w:sz w:val="24"/>
          <w:szCs w:val="24"/>
        </w:rPr>
        <w:t>4</w:t>
      </w:r>
    </w:p>
    <w:p w:rsidR="00E911F7" w:rsidRPr="006B0DFB" w:rsidRDefault="00E911F7" w:rsidP="00E911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F63C3" w:rsidRPr="004F63C3" w:rsidRDefault="004F63C3" w:rsidP="00E911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Рассмотрены и утверждены на заседании кафедры экономики и МЭО в АПК 0</w:t>
      </w:r>
      <w:r w:rsidR="002A083D">
        <w:rPr>
          <w:rFonts w:ascii="Times New Roman" w:hAnsi="Times New Roman" w:cs="Times New Roman"/>
          <w:sz w:val="24"/>
          <w:szCs w:val="24"/>
        </w:rPr>
        <w:t>5</w:t>
      </w:r>
      <w:r w:rsidRPr="004F63C3">
        <w:rPr>
          <w:rFonts w:ascii="Times New Roman" w:hAnsi="Times New Roman" w:cs="Times New Roman"/>
          <w:sz w:val="24"/>
          <w:szCs w:val="24"/>
        </w:rPr>
        <w:t>.0</w:t>
      </w:r>
      <w:r w:rsidR="002A083D">
        <w:rPr>
          <w:rFonts w:ascii="Times New Roman" w:hAnsi="Times New Roman" w:cs="Times New Roman"/>
          <w:sz w:val="24"/>
          <w:szCs w:val="24"/>
        </w:rPr>
        <w:t>6</w:t>
      </w:r>
      <w:r w:rsidRPr="004F63C3">
        <w:rPr>
          <w:rFonts w:ascii="Times New Roman" w:hAnsi="Times New Roman" w:cs="Times New Roman"/>
          <w:sz w:val="24"/>
          <w:szCs w:val="24"/>
        </w:rPr>
        <w:t>.202</w:t>
      </w:r>
      <w:r w:rsidR="002A083D">
        <w:rPr>
          <w:rFonts w:ascii="Times New Roman" w:hAnsi="Times New Roman" w:cs="Times New Roman"/>
          <w:sz w:val="24"/>
          <w:szCs w:val="24"/>
        </w:rPr>
        <w:t>4</w:t>
      </w:r>
      <w:r w:rsidRPr="004F63C3"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протокол № 1</w:t>
      </w:r>
      <w:r w:rsidR="002A083D">
        <w:rPr>
          <w:rFonts w:ascii="Times New Roman" w:hAnsi="Times New Roman" w:cs="Times New Roman"/>
          <w:sz w:val="24"/>
          <w:szCs w:val="24"/>
        </w:rPr>
        <w:t>0</w:t>
      </w:r>
      <w:r w:rsidRPr="004F63C3">
        <w:rPr>
          <w:rFonts w:ascii="Times New Roman" w:hAnsi="Times New Roman" w:cs="Times New Roman"/>
          <w:sz w:val="24"/>
          <w:szCs w:val="24"/>
        </w:rPr>
        <w:t>.</w:t>
      </w:r>
    </w:p>
    <w:sectPr w:rsidR="004F63C3" w:rsidRPr="004F63C3" w:rsidSect="004F63C3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4EEE"/>
    <w:multiLevelType w:val="hybridMultilevel"/>
    <w:tmpl w:val="9804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978"/>
    <w:rsid w:val="002A083D"/>
    <w:rsid w:val="004909F0"/>
    <w:rsid w:val="004F63C3"/>
    <w:rsid w:val="005107F6"/>
    <w:rsid w:val="006B0DFB"/>
    <w:rsid w:val="00833EB2"/>
    <w:rsid w:val="00B11312"/>
    <w:rsid w:val="00B32E96"/>
    <w:rsid w:val="00D75138"/>
    <w:rsid w:val="00D85A62"/>
    <w:rsid w:val="00E911F7"/>
    <w:rsid w:val="00E9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78"/>
    <w:pPr>
      <w:ind w:left="720"/>
      <w:contextualSpacing/>
    </w:pPr>
  </w:style>
  <w:style w:type="table" w:styleId="a4">
    <w:name w:val="Table Grid"/>
    <w:basedOn w:val="a1"/>
    <w:uiPriority w:val="59"/>
    <w:rsid w:val="004F63C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админ</cp:lastModifiedBy>
  <cp:revision>5</cp:revision>
  <dcterms:created xsi:type="dcterms:W3CDTF">2023-01-19T06:00:00Z</dcterms:created>
  <dcterms:modified xsi:type="dcterms:W3CDTF">2024-06-25T07:44:00Z</dcterms:modified>
</cp:coreProperties>
</file>